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281DD0">
      <w:pPr>
        <w:pStyle w:val="1"/>
      </w:pPr>
      <w:r>
        <w:fldChar w:fldCharType="begin"/>
      </w:r>
      <w:r>
        <w:instrText>HYPERLINK "http://ivo.garant.ru/document/redirect/70380924/0"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Федеральной службы по техническому и экспортному контролю от 18 февраля 2013 г. N 21 "Об утверждении Состава </w:t>
      </w:r>
      <w:r>
        <w:rPr>
          <w:rStyle w:val="a4"/>
          <w:b w:val="0"/>
          <w:bCs w:val="0"/>
        </w:rP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(с изменениями и дополнениями)</w:t>
      </w:r>
      <w:r>
        <w:fldChar w:fldCharType="end"/>
      </w:r>
    </w:p>
    <w:p w:rsidR="00000000" w:rsidRDefault="00281DD0">
      <w:pPr>
        <w:pStyle w:val="ab"/>
      </w:pPr>
      <w:r>
        <w:t>С изменениями и дополнениями от:</w:t>
      </w:r>
    </w:p>
    <w:p w:rsidR="00000000" w:rsidRDefault="00281D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марта 2017 г., 14 мая 2020</w:t>
      </w:r>
      <w:r>
        <w:rPr>
          <w:shd w:val="clear" w:color="auto" w:fill="EAEFED"/>
        </w:rPr>
        <w:t xml:space="preserve"> г.</w:t>
      </w:r>
    </w:p>
    <w:p w:rsidR="00000000" w:rsidRDefault="00281DD0"/>
    <w:p w:rsidR="00000000" w:rsidRDefault="00281DD0">
      <w:r>
        <w:t xml:space="preserve">В соответствии с </w:t>
      </w:r>
      <w:hyperlink r:id="rId7" w:history="1">
        <w:r>
          <w:rPr>
            <w:rStyle w:val="a4"/>
          </w:rPr>
          <w:t>частью 4 статьи 19</w:t>
        </w:r>
      </w:hyperlink>
      <w:r>
        <w:t xml:space="preserve"> Федерального закона от 27 июля 2006 г. N </w:t>
      </w:r>
      <w:r>
        <w:t xml:space="preserve">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4701) и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августа</w:t>
      </w:r>
      <w:r>
        <w:t xml:space="preserve"> 2004 г. N 1085 (Собрание законодательства Российской Федерации, 2004, N 34, ст. 3541; 2006, N 49, ст. 5192; 2008, N 43, ст. 4921; N 47, ст. 5431; 2012, N 7, ст. 818), приказываю:</w:t>
      </w:r>
    </w:p>
    <w:p w:rsidR="00000000" w:rsidRDefault="00281DD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Состав и содержание</w:t>
        </w:r>
      </w:hyperlink>
      <w:r>
        <w:t xml:space="preserve"> </w:t>
      </w:r>
      <w:r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000000" w:rsidRDefault="00281DD0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Ф</w:t>
      </w:r>
      <w:r>
        <w:t>СТЭК России от 5 февраля 2010 г. N 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 г., регистрационный N 16456).</w:t>
      </w:r>
    </w:p>
    <w:bookmarkEnd w:id="2"/>
    <w:p w:rsidR="00000000" w:rsidRDefault="00281DD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1DD0">
            <w:pPr>
              <w:pStyle w:val="ac"/>
            </w:pPr>
            <w:r>
              <w:t xml:space="preserve">Директор Федеральной </w:t>
            </w:r>
            <w:r>
              <w:t>службы</w:t>
            </w:r>
            <w:r>
              <w:br/>
              <w:t>по техническому и экспортному контролю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1DD0">
            <w:pPr>
              <w:pStyle w:val="aa"/>
              <w:jc w:val="right"/>
            </w:pPr>
            <w:r>
              <w:t>В. Селин</w:t>
            </w:r>
          </w:p>
        </w:tc>
      </w:tr>
    </w:tbl>
    <w:p w:rsidR="00000000" w:rsidRDefault="00281DD0"/>
    <w:p w:rsidR="00000000" w:rsidRDefault="00281DD0">
      <w:pPr>
        <w:pStyle w:val="ac"/>
      </w:pPr>
      <w:r>
        <w:t>Зарегистрировано в Минюсте РФ 14 мая 2013 г.</w:t>
      </w:r>
      <w:r>
        <w:br/>
        <w:t>Регистрационный N 28375</w:t>
      </w:r>
    </w:p>
    <w:p w:rsidR="00000000" w:rsidRDefault="00281DD0"/>
    <w:p w:rsidR="00000000" w:rsidRDefault="00281DD0">
      <w:pPr>
        <w:pStyle w:val="1"/>
      </w:pPr>
      <w:bookmarkStart w:id="3" w:name="sub_1000"/>
      <w:r>
        <w:t>Состав и содержание</w:t>
      </w:r>
      <w:r>
        <w:br/>
        <w:t xml:space="preserve">организационных и технических мер по обеспечению безопасности персональных данных при их обработке в </w:t>
      </w:r>
      <w:r>
        <w:t>информационных системах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техническому и экспортному контролю от 18 февраля 2013 г. N 21)</w:t>
      </w:r>
    </w:p>
    <w:bookmarkEnd w:id="3"/>
    <w:p w:rsidR="00000000" w:rsidRDefault="00281DD0">
      <w:pPr>
        <w:pStyle w:val="ab"/>
      </w:pPr>
      <w:r>
        <w:t>С изменениями и дополнениями от:</w:t>
      </w:r>
    </w:p>
    <w:p w:rsidR="00000000" w:rsidRDefault="00281D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марта 2017 г., 14 мая 2020 г.</w:t>
      </w:r>
    </w:p>
    <w:p w:rsidR="00000000" w:rsidRDefault="00281DD0"/>
    <w:p w:rsidR="00000000" w:rsidRDefault="00281DD0">
      <w:pPr>
        <w:pStyle w:val="1"/>
      </w:pPr>
      <w:bookmarkStart w:id="4" w:name="sub_100"/>
      <w:r>
        <w:t>I. Об</w:t>
      </w:r>
      <w:r>
        <w:t>щие положения</w:t>
      </w:r>
    </w:p>
    <w:bookmarkEnd w:id="4"/>
    <w:p w:rsidR="00000000" w:rsidRDefault="00281DD0"/>
    <w:p w:rsidR="00000000" w:rsidRDefault="00281DD0">
      <w:bookmarkStart w:id="5" w:name="sub_1001"/>
      <w:r>
        <w:t xml:space="preserve">1. Настоящий документ разработан в соответствии с </w:t>
      </w:r>
      <w:hyperlink r:id="rId11" w:history="1">
        <w:r>
          <w:rPr>
            <w:rStyle w:val="a4"/>
          </w:rPr>
          <w:t>частью 4 статьи 19</w:t>
        </w:r>
      </w:hyperlink>
      <w:r>
        <w:t xml:space="preserve"> Федерального закона от 27 июля 2006 г. N 152-ФЗ "О персональных данных" (Собрание законода</w:t>
      </w:r>
      <w:r>
        <w:t>тельства Российской Федерации, 2006, N 31, ст. 3451; 2009, N 48, ст. 5716; N 52, ст. 6439; 2010, N 27, ст. 3407; N 31, ст. 4173, ст. 4196; N 49, ст. 6409; 2011, N 23, ст. 3263; N 31, ст. 4701) и устанавливает состав и содержание организационных и техническ</w:t>
      </w:r>
      <w:r>
        <w:t xml:space="preserve">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2" w:history="1">
        <w:r>
          <w:rPr>
            <w:rStyle w:val="a4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ноября 2012 г. N 1119 (Собрание законодательства Российской Федерации, 2012, N 45, ст. 6257).</w:t>
      </w:r>
    </w:p>
    <w:bookmarkEnd w:id="5"/>
    <w:p w:rsidR="00000000" w:rsidRDefault="00281DD0">
      <w:r>
        <w:t>Меры по обеспечению безопасности персональных данных принимаются для защиты персональных данных от неправомерн</w:t>
      </w:r>
      <w:r>
        <w:t>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0000" w:rsidRDefault="00281DD0">
      <w:r>
        <w:t>В настоящем документе не рассматриваются вопро</w:t>
      </w:r>
      <w:r>
        <w:t>сы обеспечения безопасности персональных данных,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000000" w:rsidRDefault="00281DD0">
      <w:bookmarkStart w:id="6" w:name="sub_1002"/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</w:t>
      </w:r>
      <w:r>
        <w:t>тельством Российской Федерации.</w:t>
      </w:r>
    </w:p>
    <w:bookmarkEnd w:id="6"/>
    <w:p w:rsidR="00000000" w:rsidRDefault="00281DD0">
      <w:r>
        <w:t>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</w:t>
      </w:r>
      <w:r>
        <w:t>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000000" w:rsidRDefault="00281DD0">
      <w:bookmarkStart w:id="7" w:name="sub_1003"/>
      <w:r>
        <w:t>3. Меры по обеспечению безопасности персональных данных реализуются в рамках системы защиты персональных данных, создава</w:t>
      </w:r>
      <w:r>
        <w:t xml:space="preserve">емой в соответствии с </w:t>
      </w:r>
      <w:hyperlink r:id="rId14" w:history="1">
        <w:r>
          <w:rPr>
            <w:rStyle w:val="a4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ноября 2012 г. N 1119, и должны быть направлены на нейтрализацию актуальных угроз безопасности персональных данных.</w:t>
      </w:r>
    </w:p>
    <w:p w:rsidR="00000000" w:rsidRDefault="00281DD0">
      <w:bookmarkStart w:id="8" w:name="sub_1004"/>
      <w:bookmarkEnd w:id="7"/>
      <w:r>
        <w:t>4. Меры по обеспечению безопасности персональных данны</w:t>
      </w:r>
      <w:r>
        <w:t>х реализуются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</w:t>
      </w:r>
      <w:r>
        <w:t>зопасности персональных данных.</w:t>
      </w:r>
    </w:p>
    <w:bookmarkEnd w:id="8"/>
    <w:p w:rsidR="00000000" w:rsidRDefault="00281DD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81DD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000000" w:rsidRDefault="00281DD0">
      <w:bookmarkStart w:id="9" w:name="sub_1006"/>
      <w: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</w:t>
      </w:r>
      <w:r>
        <w:t>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000000" w:rsidRDefault="00281DD0">
      <w:bookmarkStart w:id="10" w:name="sub_1007"/>
      <w:bookmarkEnd w:id="9"/>
      <w:r>
        <w:t>7. Меры по обеспечению безопасности персональных данных при их обработке в гос</w:t>
      </w:r>
      <w:r>
        <w:t xml:space="preserve">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6" w:history="1">
        <w:r>
          <w:rPr>
            <w:rStyle w:val="a4"/>
          </w:rPr>
          <w:t>частью 5 статьи 16</w:t>
        </w:r>
      </w:hyperlink>
      <w:r>
        <w:t xml:space="preserve"> Федерального закона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2010, N 31,</w:t>
      </w:r>
      <w:r>
        <w:t xml:space="preserve"> ст. 4196; 2011, N 15, ст. 2038; N 30, ст. 4600; 2012, N 31, ст. 4328).</w:t>
      </w:r>
    </w:p>
    <w:bookmarkEnd w:id="10"/>
    <w:p w:rsidR="00000000" w:rsidRDefault="00281DD0"/>
    <w:p w:rsidR="00000000" w:rsidRDefault="00281DD0">
      <w:pPr>
        <w:pStyle w:val="1"/>
      </w:pPr>
      <w:bookmarkStart w:id="11" w:name="sub_200"/>
      <w:r>
        <w:t>II. Состав и содержание мер по обеспечению безопасности персональных данных</w:t>
      </w:r>
    </w:p>
    <w:bookmarkEnd w:id="11"/>
    <w:p w:rsidR="00000000" w:rsidRDefault="00281DD0"/>
    <w:p w:rsidR="00000000" w:rsidRDefault="00281DD0">
      <w:bookmarkStart w:id="12" w:name="sub_1008"/>
      <w:r>
        <w:t>8. В состав мер по обеспечению безопасности персональных данных, реализуемых</w:t>
      </w:r>
      <w:r>
        <w:t xml:space="preserve">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bookmarkEnd w:id="12"/>
    <w:p w:rsidR="00000000" w:rsidRDefault="00281DD0">
      <w:r>
        <w:t>идентификация и аутентификация субъектов доступа и объектов доступа;</w:t>
      </w:r>
    </w:p>
    <w:p w:rsidR="00000000" w:rsidRDefault="00281DD0">
      <w:r>
        <w:lastRenderedPageBreak/>
        <w:t>управление доступом субъек</w:t>
      </w:r>
      <w:r>
        <w:t>тов доступа к объектам доступа;</w:t>
      </w:r>
    </w:p>
    <w:p w:rsidR="00000000" w:rsidRDefault="00281DD0">
      <w:r>
        <w:t>ограничение программной среды;</w:t>
      </w:r>
    </w:p>
    <w:p w:rsidR="00000000" w:rsidRDefault="00281DD0"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000000" w:rsidRDefault="00281DD0">
      <w:r>
        <w:t>регистрация событий безопасности;</w:t>
      </w:r>
    </w:p>
    <w:p w:rsidR="00000000" w:rsidRDefault="00281DD0">
      <w:r>
        <w:t>антивирус</w:t>
      </w:r>
      <w:r>
        <w:t>ная защита;</w:t>
      </w:r>
    </w:p>
    <w:p w:rsidR="00000000" w:rsidRDefault="00281DD0">
      <w:r>
        <w:t>обнаружение (предотвращение) вторжений;</w:t>
      </w:r>
    </w:p>
    <w:p w:rsidR="00000000" w:rsidRDefault="00281DD0">
      <w:r>
        <w:t>контроль (анализ) защищенности персональных данных;</w:t>
      </w:r>
    </w:p>
    <w:p w:rsidR="00000000" w:rsidRDefault="00281DD0">
      <w:r>
        <w:t>обеспечение целостности информационной системы и персональных данных;</w:t>
      </w:r>
    </w:p>
    <w:p w:rsidR="00000000" w:rsidRDefault="00281DD0">
      <w:r>
        <w:t>обеспечение доступности персональных данных;</w:t>
      </w:r>
    </w:p>
    <w:p w:rsidR="00000000" w:rsidRDefault="00281DD0">
      <w:r>
        <w:t>защита среды виртуализации;</w:t>
      </w:r>
    </w:p>
    <w:p w:rsidR="00000000" w:rsidRDefault="00281DD0">
      <w:r>
        <w:t>защита те</w:t>
      </w:r>
      <w:r>
        <w:t>хнических средств;</w:t>
      </w:r>
    </w:p>
    <w:p w:rsidR="00000000" w:rsidRDefault="00281DD0">
      <w:r>
        <w:t>защита информационной системы, ее средств, систем связи и передачи данных;</w:t>
      </w:r>
    </w:p>
    <w:p w:rsidR="00000000" w:rsidRDefault="00281DD0"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</w:t>
      </w:r>
      <w:r>
        <w:t>ению угроз безопасности персональных данных (далее - инциденты), и реагирование на них;</w:t>
      </w:r>
    </w:p>
    <w:p w:rsidR="00000000" w:rsidRDefault="00281DD0">
      <w:r>
        <w:t>управление конфигурацией информационной системы и системы защиты персональных данных.</w:t>
      </w:r>
    </w:p>
    <w:p w:rsidR="00000000" w:rsidRDefault="00281DD0">
      <w:r>
        <w:t>Состав и содержание мер по обеспечению безопасности персональных данных, необходим</w:t>
      </w:r>
      <w:r>
        <w:t>ых для обеспечения каждого из уровней защищенности персональных данных, приведены в приложении к настоящему документу.</w:t>
      </w:r>
    </w:p>
    <w:p w:rsidR="00000000" w:rsidRDefault="00281DD0">
      <w:bookmarkStart w:id="13" w:name="sub_1081"/>
      <w:r>
        <w:t xml:space="preserve">8.1. </w:t>
      </w:r>
      <w:hyperlink w:anchor="sub_11001" w:history="1">
        <w:r>
          <w:rPr>
            <w:rStyle w:val="a4"/>
          </w:rPr>
          <w:t>Меры</w:t>
        </w:r>
      </w:hyperlink>
      <w:r>
        <w:t xml:space="preserve">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</w:t>
      </w:r>
      <w:r>
        <w:t>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000000" w:rsidRDefault="00281DD0">
      <w:bookmarkStart w:id="14" w:name="sub_1082"/>
      <w:bookmarkEnd w:id="13"/>
      <w:r>
        <w:t xml:space="preserve">8.2. </w:t>
      </w:r>
      <w:hyperlink w:anchor="sub_11002" w:history="1">
        <w:r>
          <w:rPr>
            <w:rStyle w:val="a4"/>
          </w:rPr>
          <w:t>Меры</w:t>
        </w:r>
      </w:hyperlink>
      <w:r>
        <w:t xml:space="preserve"> по управлению доступом субъектов доступа к объектам доступ</w:t>
      </w:r>
      <w:r>
        <w:t xml:space="preserve">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контроль </w:t>
      </w:r>
      <w:r>
        <w:t>за соблюдением этих правил.</w:t>
      </w:r>
    </w:p>
    <w:p w:rsidR="00000000" w:rsidRDefault="00281DD0">
      <w:bookmarkStart w:id="15" w:name="sub_1083"/>
      <w:bookmarkEnd w:id="14"/>
      <w:r>
        <w:t xml:space="preserve">8.3. </w:t>
      </w:r>
      <w:hyperlink w:anchor="sub_11003" w:history="1">
        <w:r>
          <w:rPr>
            <w:rStyle w:val="a4"/>
          </w:rPr>
          <w:t>Меры</w:t>
        </w:r>
      </w:hyperlink>
      <w:r>
        <w:t xml:space="preserve">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</w:t>
      </w:r>
      <w:r>
        <w:t>ть возможность установки и (или) запуска запрещенного к использованию в информационной системе программного обеспечения.</w:t>
      </w:r>
    </w:p>
    <w:p w:rsidR="00000000" w:rsidRDefault="00281DD0">
      <w:bookmarkStart w:id="16" w:name="sub_1084"/>
      <w:bookmarkEnd w:id="15"/>
      <w:r>
        <w:t xml:space="preserve">8.4. </w:t>
      </w:r>
      <w:hyperlink w:anchor="sub_11004" w:history="1">
        <w:r>
          <w:rPr>
            <w:rStyle w:val="a4"/>
          </w:rPr>
          <w:t>Меры</w:t>
        </w:r>
      </w:hyperlink>
      <w:r>
        <w:t xml:space="preserve"> по защите машинных носителей персональных данных (средств обработки (хранения) пер</w:t>
      </w:r>
      <w:r>
        <w:t>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</w:t>
      </w:r>
      <w:r>
        <w:t>ерсональных данных.</w:t>
      </w:r>
    </w:p>
    <w:p w:rsidR="00000000" w:rsidRDefault="00281DD0">
      <w:bookmarkStart w:id="17" w:name="sub_1085"/>
      <w:bookmarkEnd w:id="16"/>
      <w:r>
        <w:t xml:space="preserve">8.5. </w:t>
      </w:r>
      <w:hyperlink w:anchor="sub_11005" w:history="1">
        <w:r>
          <w:rPr>
            <w:rStyle w:val="a4"/>
          </w:rPr>
          <w:t>Меры</w:t>
        </w:r>
      </w:hyperlink>
      <w:r>
        <w:t xml:space="preserve">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</w:t>
      </w:r>
      <w:r>
        <w:t>ализа информации о таких событиях и реагирование на них.</w:t>
      </w:r>
    </w:p>
    <w:p w:rsidR="00000000" w:rsidRDefault="00281DD0">
      <w:bookmarkStart w:id="18" w:name="sub_1086"/>
      <w:bookmarkEnd w:id="17"/>
      <w:r>
        <w:t xml:space="preserve">8.6. </w:t>
      </w:r>
      <w:hyperlink w:anchor="sub_11006" w:history="1">
        <w:r>
          <w:rPr>
            <w:rStyle w:val="a4"/>
          </w:rPr>
          <w:t>Меры</w:t>
        </w:r>
      </w:hyperlink>
      <w:r>
        <w:t xml:space="preserve"> по антивирусной защите должны обеспечивать обнаружение в информационной системе компьютерных программ либо иной компьютерной информации, предназна</w:t>
      </w:r>
      <w:r>
        <w:t>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000000" w:rsidRDefault="00281DD0">
      <w:bookmarkStart w:id="19" w:name="sub_1087"/>
      <w:bookmarkEnd w:id="18"/>
      <w:r>
        <w:t xml:space="preserve">8.7. </w:t>
      </w:r>
      <w:hyperlink w:anchor="sub_11007" w:history="1">
        <w:r>
          <w:rPr>
            <w:rStyle w:val="a4"/>
          </w:rPr>
          <w:t>Меры</w:t>
        </w:r>
      </w:hyperlink>
      <w:r>
        <w:t xml:space="preserve">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</w:t>
      </w:r>
      <w:r>
        <w:lastRenderedPageBreak/>
        <w:t>к информации, специальные воздействия на информационную систему и (или) персональные данны</w:t>
      </w:r>
      <w:r>
        <w:t>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000000" w:rsidRDefault="00281DD0">
      <w:bookmarkStart w:id="20" w:name="sub_1088"/>
      <w:bookmarkEnd w:id="19"/>
      <w:r>
        <w:t xml:space="preserve">8.8. </w:t>
      </w:r>
      <w:hyperlink w:anchor="sub_11008" w:history="1">
        <w:r>
          <w:rPr>
            <w:rStyle w:val="a4"/>
          </w:rPr>
          <w:t>Меры</w:t>
        </w:r>
      </w:hyperlink>
      <w:r>
        <w:t xml:space="preserve"> по контролю (анализу) защищенности персональных данных должны обеспечивать </w:t>
      </w:r>
      <w:r>
        <w:t>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000000" w:rsidRDefault="00281DD0">
      <w:bookmarkStart w:id="21" w:name="sub_1089"/>
      <w:bookmarkEnd w:id="20"/>
      <w:r>
        <w:t xml:space="preserve">8.9. </w:t>
      </w:r>
      <w:hyperlink w:anchor="sub_11009" w:history="1">
        <w:r>
          <w:rPr>
            <w:rStyle w:val="a4"/>
          </w:rPr>
          <w:t>Меры</w:t>
        </w:r>
      </w:hyperlink>
      <w:r>
        <w:t xml:space="preserve">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</w:t>
      </w:r>
      <w:r>
        <w:t>ных данных, а также возможность восстановления информационной системы и содержащихся в ней персональных данных.</w:t>
      </w:r>
    </w:p>
    <w:p w:rsidR="00000000" w:rsidRDefault="00281DD0">
      <w:bookmarkStart w:id="22" w:name="sub_1810"/>
      <w:bookmarkEnd w:id="21"/>
      <w:r>
        <w:t xml:space="preserve">8.10. </w:t>
      </w:r>
      <w:hyperlink w:anchor="sub_11010" w:history="1">
        <w:r>
          <w:rPr>
            <w:rStyle w:val="a4"/>
          </w:rPr>
          <w:t>Меры</w:t>
        </w:r>
      </w:hyperlink>
      <w:r>
        <w:t xml:space="preserve"> по обеспечению доступности персональных данных должны обеспечивать авторизованный доступ п</w:t>
      </w:r>
      <w:r>
        <w:t>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000000" w:rsidRDefault="00281DD0">
      <w:bookmarkStart w:id="23" w:name="sub_1811"/>
      <w:bookmarkEnd w:id="22"/>
      <w:r>
        <w:t xml:space="preserve">8.11. </w:t>
      </w:r>
      <w:hyperlink w:anchor="sub_11011" w:history="1">
        <w:r>
          <w:rPr>
            <w:rStyle w:val="a4"/>
          </w:rPr>
          <w:t>Меры</w:t>
        </w:r>
      </w:hyperlink>
      <w:r>
        <w:t xml:space="preserve"> по защите среды виртуализации должны исклю</w:t>
      </w:r>
      <w:r>
        <w:t xml:space="preserve">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</w:t>
      </w:r>
      <w:r>
        <w:t>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 машинам (контейнерам), си</w:t>
      </w:r>
      <w:r>
        <w:t>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000000" w:rsidRDefault="00281DD0">
      <w:bookmarkStart w:id="24" w:name="sub_1812"/>
      <w:bookmarkEnd w:id="23"/>
      <w:r>
        <w:t xml:space="preserve">8.12. </w:t>
      </w:r>
      <w:hyperlink w:anchor="sub_11012" w:history="1">
        <w:r>
          <w:rPr>
            <w:rStyle w:val="a4"/>
          </w:rPr>
          <w:t>Меры</w:t>
        </w:r>
      </w:hyperlink>
      <w:r>
        <w:t xml:space="preserve"> по защите технических средств должны исключать несанкционированный доступ</w:t>
      </w:r>
      <w:r>
        <w:t xml:space="preserve">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</w:t>
      </w:r>
      <w:r>
        <w:t>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</w:p>
    <w:p w:rsidR="00000000" w:rsidRDefault="00281DD0">
      <w:bookmarkStart w:id="25" w:name="sub_1813"/>
      <w:bookmarkEnd w:id="24"/>
      <w:r>
        <w:t xml:space="preserve">8.13. </w:t>
      </w:r>
      <w:hyperlink w:anchor="sub_11013" w:history="1">
        <w:r>
          <w:rPr>
            <w:rStyle w:val="a4"/>
          </w:rPr>
          <w:t>Меры</w:t>
        </w:r>
      </w:hyperlink>
      <w:r>
        <w:t xml:space="preserve"> по защите информационной системы, ее средств, сист</w:t>
      </w:r>
      <w:r>
        <w:t>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</w:t>
      </w:r>
      <w:r>
        <w:t xml:space="preserve"> информационной системы и проектных решений, направленных на обеспечение безопасности персональных данных.</w:t>
      </w:r>
    </w:p>
    <w:p w:rsidR="00000000" w:rsidRDefault="00281DD0">
      <w:bookmarkStart w:id="26" w:name="sub_1814"/>
      <w:bookmarkEnd w:id="25"/>
      <w:r>
        <w:t xml:space="preserve">8.14. </w:t>
      </w:r>
      <w:hyperlink w:anchor="sub_11014" w:history="1">
        <w:r>
          <w:rPr>
            <w:rStyle w:val="a4"/>
          </w:rPr>
          <w:t>Меры</w:t>
        </w:r>
      </w:hyperlink>
      <w:r>
        <w:t xml:space="preserve"> по выявлению инцидентов и реагированию на них должны обеспечивать обнаружение, идентификацию, а</w:t>
      </w:r>
      <w:r>
        <w:t>нализ инцидентов в информационной системе, а также принятие мер по устранению и предупреждению инцидентов.</w:t>
      </w:r>
    </w:p>
    <w:p w:rsidR="00000000" w:rsidRDefault="00281DD0">
      <w:bookmarkStart w:id="27" w:name="sub_1815"/>
      <w:bookmarkEnd w:id="26"/>
      <w:r>
        <w:t xml:space="preserve">8.15. </w:t>
      </w:r>
      <w:hyperlink w:anchor="sub_11015" w:history="1">
        <w:r>
          <w:rPr>
            <w:rStyle w:val="a4"/>
          </w:rPr>
          <w:t>Меры</w:t>
        </w:r>
      </w:hyperlink>
      <w:r>
        <w:t xml:space="preserve"> по управлению конфигурацией информационной системы и системы защиты персональных данных должны </w:t>
      </w:r>
      <w:r>
        <w:t>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000000" w:rsidRDefault="00281DD0">
      <w:bookmarkStart w:id="28" w:name="sub_1009"/>
      <w:bookmarkEnd w:id="27"/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bookmarkEnd w:id="28"/>
    <w:p w:rsidR="00000000" w:rsidRDefault="00281DD0">
      <w:r>
        <w:t>определение базового набора мер по обеспечению безопасности персонал</w:t>
      </w:r>
      <w:r>
        <w:t>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данных, приведенными в приложении к настоящему документу;</w:t>
      </w:r>
    </w:p>
    <w:p w:rsidR="00000000" w:rsidRDefault="00281DD0">
      <w:r>
        <w:lastRenderedPageBreak/>
        <w:t>адаптацию базового набора мер по обеспечению бе</w:t>
      </w:r>
      <w:r>
        <w:t>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</w:t>
      </w:r>
      <w:r>
        <w:t>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000000" w:rsidRDefault="00281DD0">
      <w:r>
        <w:t>уточнение адаптированного базового набора мер по обеспечению безопасности персональных д</w:t>
      </w:r>
      <w:r>
        <w:t>анных с учетом не выбранных ранее мер, приведенных в приложении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</w:t>
      </w:r>
      <w:r>
        <w:t>х для конкретной информационной системы;</w:t>
      </w:r>
    </w:p>
    <w:p w:rsidR="00000000" w:rsidRDefault="00281DD0">
      <w: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</w:t>
      </w:r>
      <w:r>
        <w:t>и правовыми актами в области обеспечения безопасности персональных данных и защиты информации.</w:t>
      </w:r>
    </w:p>
    <w:p w:rsidR="00000000" w:rsidRDefault="00281DD0">
      <w:bookmarkStart w:id="29" w:name="sub_1010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</w:t>
      </w:r>
      <w:r>
        <w:t>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bookmarkEnd w:id="29"/>
    <w:p w:rsidR="00000000" w:rsidRDefault="00281DD0">
      <w:r>
        <w:t>В этом слу</w:t>
      </w:r>
      <w:r>
        <w:t>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000000" w:rsidRDefault="00281DD0">
      <w:bookmarkStart w:id="30" w:name="sub_1011"/>
      <w:r>
        <w:t xml:space="preserve">11. В случае определения в соответствии с </w:t>
      </w:r>
      <w:hyperlink r:id="rId17" w:history="1">
        <w:r>
          <w:rPr>
            <w:rStyle w:val="a4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1 ноября 2012 г. N 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пункте 8 настоящего документа, могут применяться следующие меры:</w:t>
      </w:r>
    </w:p>
    <w:bookmarkEnd w:id="30"/>
    <w:p w:rsidR="00000000" w:rsidRDefault="00281DD0">
      <w: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000000" w:rsidRDefault="00281DD0">
      <w:r>
        <w:t>тестирование информационной систе</w:t>
      </w:r>
      <w:r>
        <w:t>мы на проникновения;</w:t>
      </w:r>
    </w:p>
    <w:p w:rsidR="00000000" w:rsidRDefault="00281DD0"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000000" w:rsidRDefault="00281D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281D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изменен с 1 январ</w:t>
      </w:r>
      <w:r>
        <w:rPr>
          <w:shd w:val="clear" w:color="auto" w:fill="F0F0F0"/>
        </w:rPr>
        <w:t xml:space="preserve">я 2021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ФСТЭК России от 14 мая 2020 г. N 68</w:t>
      </w:r>
    </w:p>
    <w:p w:rsidR="00000000" w:rsidRDefault="00281DD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1DD0"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000000" w:rsidRDefault="00281DD0">
      <w:r>
        <w:t xml:space="preserve">При использовании в </w:t>
      </w:r>
      <w:r>
        <w:t>информационных системах сертифицированных по требованиям безопасности информации средств защиты информации:</w:t>
      </w:r>
    </w:p>
    <w:p w:rsidR="00000000" w:rsidRDefault="00281DD0">
      <w:bookmarkStart w:id="32" w:name="sub_1203"/>
      <w:r>
        <w:t>в информационных системах 1 уровня защищенности персональных данных применяются средства защиты информации не ниже 4 класса и 4 уровня довер</w:t>
      </w:r>
      <w:r>
        <w:t>ия, а также средства вычислительной техники не ниже 5 класса;</w:t>
      </w:r>
    </w:p>
    <w:p w:rsidR="00000000" w:rsidRDefault="00281DD0">
      <w:bookmarkStart w:id="33" w:name="sub_1204"/>
      <w:bookmarkEnd w:id="32"/>
      <w:r>
        <w:t>в информационных системах 2 уровня защищенности персональных данных применяются средства защиты информации не ниже 5 класса и 5 уровня доверия, а также средства вычислительной те</w:t>
      </w:r>
      <w:r>
        <w:t>хники не ниже 5 класса;</w:t>
      </w:r>
    </w:p>
    <w:p w:rsidR="00000000" w:rsidRDefault="00281DD0">
      <w:bookmarkStart w:id="34" w:name="sub_1205"/>
      <w:bookmarkEnd w:id="33"/>
      <w:r>
        <w:lastRenderedPageBreak/>
        <w:t>в информационных системах 3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5 класса;</w:t>
      </w:r>
    </w:p>
    <w:p w:rsidR="00000000" w:rsidRDefault="00281DD0">
      <w:bookmarkStart w:id="35" w:name="sub_1206"/>
      <w:bookmarkEnd w:id="34"/>
      <w:r>
        <w:t>в инфо</w:t>
      </w:r>
      <w:r>
        <w:t>рмационных системах 4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6 класса.</w:t>
      </w:r>
    </w:p>
    <w:bookmarkEnd w:id="35"/>
    <w:p w:rsidR="00000000" w:rsidRDefault="00281DD0">
      <w:r>
        <w:t>Классы защиты определяются в соответствии с нормативными пра</w:t>
      </w:r>
      <w:r>
        <w:t xml:space="preserve">вовыми актами, изданными в соответствии с </w:t>
      </w:r>
      <w:hyperlink r:id="rId21" w:history="1">
        <w:r>
          <w:rPr>
            <w:rStyle w:val="a4"/>
          </w:rPr>
          <w:t>подпунктом 13.1 пункта 8</w:t>
        </w:r>
      </w:hyperlink>
      <w:r>
        <w:t xml:space="preserve"> Положения о Федеральной службе по техническому и экспортному контролю, утвержденного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августа 2004 г. N 1085.</w:t>
      </w:r>
    </w:p>
    <w:p w:rsidR="00000000" w:rsidRDefault="00281DD0">
      <w:bookmarkStart w:id="36" w:name="sub_1208"/>
      <w:r>
        <w:t xml:space="preserve">Уровни доверия устанавливаются в соответствии с </w:t>
      </w:r>
      <w:hyperlink r:id="rId23" w:history="1">
        <w:r>
          <w:rPr>
            <w:rStyle w:val="a4"/>
          </w:rPr>
          <w:t>Требованиями</w:t>
        </w:r>
      </w:hyperlink>
      <w:r>
        <w:t xml:space="preserve"> по безопасности информации, устанавливающими уровни доверия к средствам технической защиты информации и средствам обеспечения безопасности информационных технологий, утвержденными</w:t>
      </w:r>
      <w:r>
        <w:t xml:space="preserve"> приказом ФСТЭК России от 30 июля 2018 г. N 131 (зарегистрирован Минюстом России 14 ноября 2018 г., регистрационный N 52686).</w:t>
      </w:r>
    </w:p>
    <w:p w:rsidR="00000000" w:rsidRDefault="00281DD0">
      <w:bookmarkStart w:id="37" w:name="sub_1209"/>
      <w:bookmarkEnd w:id="36"/>
      <w:r>
        <w:t>При использовании в информационных системах средств защиты информации, сертифицированных по требованиям безопаснос</w:t>
      </w:r>
      <w:r>
        <w:t>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bookmarkEnd w:id="37"/>
    <w:p w:rsidR="00000000" w:rsidRDefault="00281DD0"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000000" w:rsidRDefault="00281DD0">
      <w:bookmarkStart w:id="38" w:name="sub_1211"/>
      <w:r>
        <w:t xml:space="preserve">Абзац утратил силу с 1 января 2021 г. - </w:t>
      </w:r>
      <w:hyperlink r:id="rId24" w:history="1">
        <w:r>
          <w:rPr>
            <w:rStyle w:val="a4"/>
          </w:rPr>
          <w:t>Приказ</w:t>
        </w:r>
      </w:hyperlink>
      <w:r>
        <w:t xml:space="preserve"> ФСТЭК России от 14 мая 2020 г. N 68</w:t>
      </w:r>
    </w:p>
    <w:bookmarkEnd w:id="38"/>
    <w:p w:rsidR="00000000" w:rsidRDefault="00281DD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81DD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81DD0">
      <w:bookmarkStart w:id="39" w:name="sub_1013"/>
      <w:r>
        <w:t>13. При использовании в информационных системах н</w:t>
      </w:r>
      <w:r>
        <w:t>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пунктом 10 настоящего документа.</w:t>
      </w:r>
    </w:p>
    <w:bookmarkEnd w:id="39"/>
    <w:p w:rsidR="00000000" w:rsidRDefault="00281DD0"/>
    <w:p w:rsidR="00000000" w:rsidRDefault="00281DD0">
      <w:pPr>
        <w:ind w:firstLine="698"/>
        <w:jc w:val="right"/>
      </w:pPr>
      <w:bookmarkStart w:id="40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Составу и содержанию</w:t>
        </w:r>
      </w:hyperlink>
      <w:r>
        <w:rPr>
          <w:rStyle w:val="a3"/>
        </w:rPr>
        <w:br/>
        <w:t>организационных и технических мер по</w:t>
      </w:r>
      <w:r>
        <w:rPr>
          <w:rStyle w:val="a3"/>
        </w:rPr>
        <w:br/>
        <w:t>обеспечению безопасности персональных</w:t>
      </w:r>
      <w:r>
        <w:rPr>
          <w:rStyle w:val="a3"/>
        </w:rPr>
        <w:br/>
        <w:t>данных при их обработке в информационных</w:t>
      </w:r>
      <w:r>
        <w:rPr>
          <w:rStyle w:val="a3"/>
        </w:rPr>
        <w:br/>
        <w:t>системах персональных данных</w:t>
      </w:r>
    </w:p>
    <w:bookmarkEnd w:id="40"/>
    <w:p w:rsidR="00000000" w:rsidRDefault="00281DD0"/>
    <w:p w:rsidR="00000000" w:rsidRDefault="00281DD0">
      <w:pPr>
        <w:pStyle w:val="1"/>
      </w:pPr>
      <w:r>
        <w:t xml:space="preserve">Состав и содержание </w:t>
      </w:r>
      <w:r>
        <w:br/>
        <w:t xml:space="preserve">мер по </w:t>
      </w:r>
      <w:r>
        <w:t>обеспечению безопасности персональных данных, необходимых для обеспечения каждого из уровней защищенности персональных данных</w:t>
      </w:r>
    </w:p>
    <w:p w:rsidR="00000000" w:rsidRDefault="00281D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419"/>
        <w:gridCol w:w="550"/>
        <w:gridCol w:w="617"/>
        <w:gridCol w:w="551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Условное обозначение и номер меры</w:t>
            </w:r>
          </w:p>
        </w:tc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Уровни защищенности персональных</w:t>
            </w:r>
            <w:r>
              <w:t xml:space="preserve">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41" w:name="sub_11001"/>
            <w:r>
              <w:t>I. Идентификация и аутентификация субъектов доступа и объектов доступа (ИАФ)</w:t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42" w:name="sub_110011"/>
            <w:r>
              <w:t>ИАФ.1</w:t>
            </w:r>
            <w:bookmarkEnd w:id="4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 xml:space="preserve">Идентификация и аутентификация пользователей, </w:t>
            </w:r>
            <w:r>
              <w:lastRenderedPageBreak/>
              <w:t>являющихся работниками оператора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43" w:name="sub_110012"/>
            <w:r>
              <w:t>ИАФ.2</w:t>
            </w:r>
            <w:bookmarkEnd w:id="4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44" w:name="sub_110013"/>
            <w:r>
              <w:t>ИАФ.3</w:t>
            </w:r>
            <w:bookmarkEnd w:id="4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45" w:name="sub_110014"/>
            <w:r>
              <w:t>ИАФ.4</w:t>
            </w:r>
            <w:bookmarkEnd w:id="4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46" w:name="sub_110015"/>
            <w:r>
              <w:t>ИАФ.5</w:t>
            </w:r>
            <w:bookmarkEnd w:id="4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Защита обратной</w:t>
            </w:r>
            <w:r>
              <w:t xml:space="preserve"> связи при вводе аутентификационной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47" w:name="sub_110016"/>
            <w:r>
              <w:t>ИАФ.6</w:t>
            </w:r>
            <w:bookmarkEnd w:id="4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48" w:name="sub_11002"/>
            <w:r>
              <w:t>II. Управление доступом субъектов доступа к объектам доступа (УПД)</w:t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49" w:name="sub_110021"/>
            <w:r>
              <w:t>УПД.1</w:t>
            </w:r>
            <w:bookmarkEnd w:id="4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0" w:name="sub_110022"/>
            <w:r>
              <w:t>УПД.2</w:t>
            </w:r>
            <w:bookmarkEnd w:id="5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1" w:name="sub_110023"/>
            <w:r>
              <w:t>УПД.3</w:t>
            </w:r>
            <w:bookmarkEnd w:id="5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(фильтрация, маршрутизация, контроль соединений,</w:t>
            </w:r>
            <w:r>
              <w:t xml:space="preserve">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2" w:name="sub_110024"/>
            <w:r>
              <w:t>УПД.4</w:t>
            </w:r>
            <w:bookmarkEnd w:id="5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Разделение полномочий (ролей) пользователей, ад</w:t>
            </w:r>
            <w:r>
              <w:t>министраторов и лиц, обеспечивающих функционирование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3" w:name="sub_110025"/>
            <w:r>
              <w:t>УПД.5</w:t>
            </w:r>
            <w:bookmarkEnd w:id="5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4" w:name="sub_110026"/>
            <w:r>
              <w:t>УПД.6</w:t>
            </w:r>
            <w:bookmarkEnd w:id="5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Ограничение неуспешных попыток входа в информационную систему (доступа к и</w:t>
            </w:r>
            <w:r>
              <w:t>нформационной системе)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5" w:name="sub_110027"/>
            <w:r>
              <w:t>УПД.7</w:t>
            </w:r>
            <w:bookmarkEnd w:id="5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</w:t>
            </w:r>
            <w:r>
              <w:t>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6" w:name="sub_110028"/>
            <w:r>
              <w:t>УПД.8</w:t>
            </w:r>
            <w:bookmarkEnd w:id="5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7" w:name="sub_110029"/>
            <w:r>
              <w:t>УПД.9</w:t>
            </w:r>
            <w:bookmarkEnd w:id="5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</w:t>
            </w:r>
            <w:r>
              <w:t>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8" w:name="sub_110210"/>
            <w:r>
              <w:lastRenderedPageBreak/>
              <w:t>УПД.10</w:t>
            </w:r>
            <w:bookmarkEnd w:id="5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Блокирование сеанса доступа в информационную систему после установленного времени бездействия (неактивности) пользов</w:t>
            </w:r>
            <w:r>
              <w:t>ателя или по его запросу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59" w:name="sub_110211"/>
            <w:r>
              <w:t>УПД.11</w:t>
            </w:r>
            <w:bookmarkEnd w:id="5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Разрешение (запрет) действий пользователей, разрешенных до идентификации и аутентификации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0" w:name="sub_110212"/>
            <w:r>
              <w:t>УПД.12</w:t>
            </w:r>
            <w:bookmarkEnd w:id="6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1" w:name="sub_110213"/>
            <w:r>
              <w:t>УПД.13</w:t>
            </w:r>
            <w:bookmarkEnd w:id="6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2" w:name="sub_110214"/>
            <w:r>
              <w:t>УПД.14</w:t>
            </w:r>
            <w:bookmarkEnd w:id="6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Регламентация и контроль использования в информационной системе технологий беспроводног</w:t>
            </w:r>
            <w:r>
              <w:t>о доступа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3" w:name="sub_110215"/>
            <w:r>
              <w:t>УПД.15</w:t>
            </w:r>
            <w:bookmarkEnd w:id="6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4" w:name="sub_110216"/>
            <w:r>
              <w:t>УПД.16</w:t>
            </w:r>
            <w:bookmarkEnd w:id="6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5" w:name="sub_110217"/>
            <w:r>
              <w:t>УПД.17</w:t>
            </w:r>
            <w:bookmarkEnd w:id="6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66" w:name="sub_11003"/>
            <w:r>
              <w:t>III. Ограничение программной среды (ОПС)</w:t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7" w:name="sub_110031"/>
            <w:r>
              <w:t>ОПС.1</w:t>
            </w:r>
            <w:bookmarkEnd w:id="6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контроль за запуском компонентов программного обеспечения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8" w:name="sub_110032"/>
            <w:r>
              <w:t>ОПС.2</w:t>
            </w:r>
            <w:bookmarkEnd w:id="6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контроль за установкой компонентов программного обеспечения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69" w:name="sub_110033"/>
            <w:r>
              <w:t>ОПС.3</w:t>
            </w:r>
            <w:bookmarkEnd w:id="6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0" w:name="sub_110034"/>
            <w:r>
              <w:t>ОПС.4</w:t>
            </w:r>
            <w:bookmarkEnd w:id="7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71" w:name="sub_11004"/>
            <w:r>
              <w:t>IV. Защита машинных носителей персональных данных (ЗНИ)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2" w:name="sub_110041"/>
            <w:r>
              <w:t>ЗНИ.1</w:t>
            </w:r>
            <w:bookmarkEnd w:id="7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Учет машинных носителей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3" w:name="sub_110042"/>
            <w:r>
              <w:t>ЗНИ.2</w:t>
            </w:r>
            <w:bookmarkEnd w:id="7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4" w:name="sub_110043"/>
            <w:r>
              <w:t>ЗНИ.3</w:t>
            </w:r>
            <w:bookmarkEnd w:id="7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5" w:name="sub_110044"/>
            <w:r>
              <w:t>ЗНИ.4</w:t>
            </w:r>
            <w:bookmarkEnd w:id="7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 xml:space="preserve"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</w:t>
            </w:r>
            <w:r>
              <w:lastRenderedPageBreak/>
              <w:t>информационных системах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6" w:name="sub_110045"/>
            <w:r>
              <w:t>ЗНИ.5</w:t>
            </w:r>
            <w:bookmarkEnd w:id="7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использ</w:t>
            </w:r>
            <w:r>
              <w:t>ования интерфейсов ввода (вывода) информации на машинные носители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7" w:name="sub_110046"/>
            <w:r>
              <w:t>ЗНИ.6</w:t>
            </w:r>
            <w:bookmarkEnd w:id="7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8" w:name="sub_110047"/>
            <w:r>
              <w:t>ЗНИ.7</w:t>
            </w:r>
            <w:bookmarkEnd w:id="7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79" w:name="sub_110048"/>
            <w:r>
              <w:t>ЗНИ.8</w:t>
            </w:r>
            <w:bookmarkEnd w:id="7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80" w:name="sub_11005"/>
            <w:r>
              <w:t>V. Регис</w:t>
            </w:r>
            <w:r>
              <w:t>трация событий безопасности (РСБ)</w:t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1" w:name="sub_110051"/>
            <w:r>
              <w:t>РСБ.1</w:t>
            </w:r>
            <w:bookmarkEnd w:id="8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2" w:name="sub_110052"/>
            <w:r>
              <w:t>РСБ.2</w:t>
            </w:r>
            <w:bookmarkEnd w:id="8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3" w:name="sub_110053"/>
            <w:r>
              <w:t>РСБ.3</w:t>
            </w:r>
            <w:bookmarkEnd w:id="8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4" w:name="sub_110054"/>
            <w:r>
              <w:t>РСБ.4</w:t>
            </w:r>
            <w:bookmarkEnd w:id="8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5" w:name="sub_110055"/>
            <w:r>
              <w:t>РСБ.5</w:t>
            </w:r>
            <w:bookmarkEnd w:id="8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6" w:name="sub_110056"/>
            <w:r>
              <w:t>РСБ.6</w:t>
            </w:r>
            <w:bookmarkEnd w:id="8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7" w:name="sub_110057"/>
            <w:r>
              <w:t>РСБ.7</w:t>
            </w:r>
            <w:bookmarkEnd w:id="8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Защита информации о событиях безопасности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88" w:name="sub_11006"/>
            <w:r>
              <w:t>VI. Антивирусная защита (АВЗ)</w:t>
            </w:r>
            <w:bookmarkEnd w:id="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89" w:name="sub_110061"/>
            <w:r>
              <w:t>АВЗ.1</w:t>
            </w:r>
            <w:bookmarkEnd w:id="8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Реализация антивирусной защиты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0" w:name="sub_110062"/>
            <w:r>
              <w:t>АВЗ.2</w:t>
            </w:r>
            <w:bookmarkEnd w:id="9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91" w:name="sub_11007"/>
            <w:r>
              <w:t>VII. Обнаружение вторжений (СОВ)</w:t>
            </w:r>
            <w:bookmarkEnd w:id="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2" w:name="sub_110071"/>
            <w:r>
              <w:t>СОВ.1</w:t>
            </w:r>
            <w:bookmarkEnd w:id="9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Обнаружение вторжений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3" w:name="sub_110072"/>
            <w:r>
              <w:t>СОВ.2</w:t>
            </w:r>
            <w:bookmarkEnd w:id="9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Обновление базы решающих правил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94" w:name="sub_11008"/>
            <w:r>
              <w:t>VIII. Контроль (анализ) защищенности персональных данных (АНЗ)</w:t>
            </w:r>
            <w:bookmarkEnd w:id="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5" w:name="sub_110081"/>
            <w:r>
              <w:t>АНЗ.1</w:t>
            </w:r>
            <w:bookmarkEnd w:id="9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6" w:name="sub_110082"/>
            <w:r>
              <w:t>АНЗ.2</w:t>
            </w:r>
            <w:bookmarkEnd w:id="9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установки обновлений программного обеспече</w:t>
            </w:r>
            <w:r>
              <w:t>ния, включая обновление программного обеспечения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7" w:name="sub_110083"/>
            <w:r>
              <w:t>АНЗ.3</w:t>
            </w:r>
            <w:bookmarkEnd w:id="9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8" w:name="sub_110084"/>
            <w:r>
              <w:t>АНЗ.4</w:t>
            </w:r>
            <w:bookmarkEnd w:id="9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 xml:space="preserve">Контроль состава технических средств, программного </w:t>
            </w:r>
            <w:r>
              <w:lastRenderedPageBreak/>
              <w:t>обеспечения и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99" w:name="sub_110085"/>
            <w:r>
              <w:t>АНЗ.5</w:t>
            </w:r>
            <w:bookmarkEnd w:id="9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правил генерации и смены паролей пользователей, заведения и удаления учетных записей пользовател</w:t>
            </w:r>
            <w:r>
              <w:t>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100" w:name="sub_11009"/>
            <w:r>
              <w:t>IХ. Обеспечение целостности информационной системы и персональных данных (ОЦЛ)</w:t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1" w:name="sub_110091"/>
            <w:r>
              <w:t>ОЦЛ.1</w:t>
            </w:r>
            <w:bookmarkEnd w:id="10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2" w:name="sub_110092"/>
            <w:r>
              <w:t>ОЦЛ.2</w:t>
            </w:r>
            <w:bookmarkEnd w:id="10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3" w:name="sub_110093"/>
            <w:r>
              <w:t>ОЦЛ.3</w:t>
            </w:r>
            <w:bookmarkEnd w:id="10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</w:t>
            </w:r>
            <w:r>
              <w:t>икновении нештатных ситуаций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4" w:name="sub_110094"/>
            <w:r>
              <w:t>ОЦЛ.4</w:t>
            </w:r>
            <w:bookmarkEnd w:id="10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5" w:name="sub_110095"/>
            <w:r>
              <w:t>ОЦЛ.5</w:t>
            </w:r>
            <w:bookmarkEnd w:id="10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</w:t>
            </w:r>
            <w:r>
              <w:t>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</w:t>
            </w:r>
            <w:r>
              <w:t>ение неправомерной передачи информации из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6" w:name="sub_110096"/>
            <w:r>
              <w:t>ОЦЛ.6</w:t>
            </w:r>
            <w:bookmarkEnd w:id="10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7" w:name="sub_110097"/>
            <w:r>
              <w:t>ОЦЛ.7</w:t>
            </w:r>
            <w:bookmarkEnd w:id="10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08" w:name="sub_110098"/>
            <w:r>
              <w:t>ОЦЛ.8</w:t>
            </w:r>
            <w:bookmarkEnd w:id="10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109" w:name="sub_11010"/>
            <w:r>
              <w:t>X. Обеспечение доступности персональных данных (ОДТ)</w:t>
            </w:r>
            <w:bookmarkEnd w:id="1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0" w:name="sub_110101"/>
            <w:r>
              <w:t>ОДТ.1</w:t>
            </w:r>
            <w:bookmarkEnd w:id="11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Использование отказоустойчивых технических средств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1" w:name="sub_110102"/>
            <w:r>
              <w:t>ОДТ.2</w:t>
            </w:r>
            <w:bookmarkEnd w:id="11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2" w:name="sub_110103"/>
            <w:r>
              <w:t>ОДТ.3</w:t>
            </w:r>
            <w:bookmarkEnd w:id="11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 xml:space="preserve">Контроль безотказного функционирования технических средств, обнаружение и </w:t>
            </w:r>
            <w:r>
              <w:t>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3" w:name="sub_110104"/>
            <w:r>
              <w:t>ОДТ.4</w:t>
            </w:r>
            <w:bookmarkEnd w:id="11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4" w:name="sub_110105"/>
            <w:r>
              <w:t>ОДТ.5</w:t>
            </w:r>
            <w:bookmarkEnd w:id="11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</w:t>
            </w:r>
            <w:r>
              <w:t xml:space="preserve">вных копий) в течение установленного </w:t>
            </w:r>
            <w:r>
              <w:lastRenderedPageBreak/>
              <w:t>временного интервала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115" w:name="sub_11011"/>
            <w:r>
              <w:t>XI. Защита среды виртуализации (ЗСВ)</w:t>
            </w:r>
            <w:bookmarkEnd w:id="1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6" w:name="sub_110111"/>
            <w:r>
              <w:t>ЗСВ.1</w:t>
            </w:r>
            <w:bookmarkEnd w:id="11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7" w:name="sub_110112"/>
            <w:r>
              <w:t>ЗСВ.2</w:t>
            </w:r>
            <w:bookmarkEnd w:id="11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8" w:name="sub_110113"/>
            <w:r>
              <w:t>ЗСВ.3</w:t>
            </w:r>
            <w:bookmarkEnd w:id="11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19" w:name="sub_110114"/>
            <w:r>
              <w:t>ЗСВ.4</w:t>
            </w:r>
            <w:bookmarkEnd w:id="11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0" w:name="sub_110115"/>
            <w:r>
              <w:t>ЗСВ.5</w:t>
            </w:r>
            <w:bookmarkEnd w:id="12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Доверенная з</w:t>
            </w:r>
            <w:r>
              <w:t>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1" w:name="sub_110116"/>
            <w:r>
              <w:t>ЗСВ.6</w:t>
            </w:r>
            <w:bookmarkEnd w:id="12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2" w:name="sub_110117"/>
            <w:r>
              <w:t>ЗСВ.7</w:t>
            </w:r>
            <w:bookmarkEnd w:id="12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3" w:name="sub_110118"/>
            <w:r>
              <w:t>ЗСВ.8</w:t>
            </w:r>
            <w:bookmarkEnd w:id="12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Резерв</w:t>
            </w:r>
            <w:r>
              <w:t>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4" w:name="sub_110119"/>
            <w:r>
              <w:t>ЗСВ.9</w:t>
            </w:r>
            <w:bookmarkEnd w:id="12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Реализация и управление антивирусной защитой в виртуал</w:t>
            </w:r>
            <w:r>
              <w:t>ьной инфраструктуре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5" w:name="sub_111110"/>
            <w:r>
              <w:t>ЗСВ.10</w:t>
            </w:r>
            <w:bookmarkEnd w:id="12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126" w:name="sub_11012"/>
            <w:r>
              <w:t>XII. Защита технических средств (ЗТС)</w:t>
            </w:r>
            <w:bookmarkEnd w:id="1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7" w:name="sub_110121"/>
            <w:r>
              <w:t>ЗТС.1</w:t>
            </w:r>
            <w:bookmarkEnd w:id="12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8" w:name="sub_110122"/>
            <w:r>
              <w:t>ЗТС.2</w:t>
            </w:r>
            <w:bookmarkEnd w:id="12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29" w:name="sub_110123"/>
            <w:r>
              <w:t>ЗТС.3</w:t>
            </w:r>
            <w:bookmarkEnd w:id="12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и уп</w:t>
            </w:r>
            <w:r>
              <w:t xml:space="preserve">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</w:t>
            </w:r>
            <w:r>
              <w:t xml:space="preserve">информации, средствам защиты информации и средствам обеспечения функционирования </w:t>
            </w:r>
            <w:r>
              <w:lastRenderedPageBreak/>
              <w:t>информационной системы, в помещения и сооружения, в которых они установлены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0" w:name="sub_110124"/>
            <w:r>
              <w:t>ЗТС.4</w:t>
            </w:r>
            <w:bookmarkEnd w:id="13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1" w:name="sub_110125"/>
            <w:r>
              <w:t>ЗТС.5</w:t>
            </w:r>
            <w:bookmarkEnd w:id="13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</w:t>
            </w:r>
            <w:r>
              <w:t>них факторов)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132" w:name="sub_11013"/>
            <w:r>
              <w:t>XIII. Защита информационной системы, ее средств, систем связи и передачи данных (ЗИС)</w:t>
            </w:r>
            <w:bookmarkEnd w:id="1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3" w:name="sub_110131"/>
            <w:r>
              <w:t>ЗИС.1</w:t>
            </w:r>
            <w:bookmarkEnd w:id="13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4" w:name="sub_110132"/>
            <w:r>
              <w:t>ЗИС.2</w:t>
            </w:r>
            <w:bookmarkEnd w:id="13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5" w:name="sub_110133"/>
            <w:r>
              <w:t>ЗИС.3</w:t>
            </w:r>
            <w:bookmarkEnd w:id="13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Обеспечение защиты персональных данных от раскрытия, модификации и навязыв</w:t>
            </w:r>
            <w:r>
              <w:t>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6" w:name="sub_110134"/>
            <w:r>
              <w:t>ЗИС.4</w:t>
            </w:r>
            <w:bookmarkEnd w:id="13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7" w:name="sub_110135"/>
            <w:r>
              <w:t>ЗИС.5</w:t>
            </w:r>
            <w:bookmarkEnd w:id="13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Запрет несанкционированной удаленной активации видеокамер, микрофо</w:t>
            </w:r>
            <w:r>
              <w:t>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8" w:name="sub_110136"/>
            <w:r>
              <w:t>ЗИС.6</w:t>
            </w:r>
            <w:bookmarkEnd w:id="13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39" w:name="sub_110137"/>
            <w:r>
              <w:t>ЗИС.7</w:t>
            </w:r>
            <w:bookmarkEnd w:id="13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санкционированного и исключение несанкционированного ис</w:t>
            </w:r>
            <w:r>
              <w:t>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0" w:name="sub_110138"/>
            <w:r>
              <w:t>ЗИС.8</w:t>
            </w:r>
            <w:bookmarkEnd w:id="14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</w:t>
            </w:r>
            <w:r>
              <w:t>зованием технологий передачи речи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1" w:name="sub_110139"/>
            <w:r>
              <w:t>ЗИС.9</w:t>
            </w:r>
            <w:bookmarkEnd w:id="14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 xml:space="preserve">Контроль санкционированной и исключение несанкционированной передачи видеоинформации, в том числе регистрация событий, связанных с передачей </w:t>
            </w:r>
            <w:r>
              <w:lastRenderedPageBreak/>
              <w:t>видеоинформации, их анализ и реагирование на наруш</w:t>
            </w:r>
            <w:r>
              <w:t>ения, связанные с передачей видеоинформации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2" w:name="sub_111310"/>
            <w:r>
              <w:t>ЗИС.10</w:t>
            </w:r>
            <w:bookmarkEnd w:id="14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3" w:name="sub_111311"/>
            <w:r>
              <w:t>ЗИС.11</w:t>
            </w:r>
            <w:bookmarkEnd w:id="14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Обеспечение подлинности сетевых соединений (сеансов взаимо</w:t>
            </w:r>
            <w:r>
              <w:t>действия), в том числе для защиты от подмены сетевых устройств и сервисов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4" w:name="sub_111312"/>
            <w:r>
              <w:t>ЗИС.12</w:t>
            </w:r>
            <w:bookmarkEnd w:id="14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5" w:name="sub_111313"/>
            <w:r>
              <w:t>ЗИС.13</w:t>
            </w:r>
            <w:bookmarkEnd w:id="14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6" w:name="sub_111314"/>
            <w:r>
              <w:t>ЗИС.14</w:t>
            </w:r>
            <w:bookmarkEnd w:id="14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7" w:name="sub_111315"/>
            <w:r>
              <w:t>ЗИС.15</w:t>
            </w:r>
            <w:bookmarkEnd w:id="14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Защита архивных файлов, параметров настройки средств защиты информации и программного обеспечения и иных данных, не п</w:t>
            </w:r>
            <w:r>
              <w:t>одлежащих изменению в процессе обработки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8" w:name="sub_111316"/>
            <w:r>
              <w:t>ЗИС.16</w:t>
            </w:r>
            <w:bookmarkEnd w:id="14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49" w:name="sub_111317"/>
            <w:r>
              <w:t>ЗИС.17</w:t>
            </w:r>
            <w:bookmarkEnd w:id="14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 xml:space="preserve">Разбиение информационной системы на сегменты (сегментирование </w:t>
            </w:r>
            <w:r>
              <w:t>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0" w:name="sub_111318"/>
            <w:r>
              <w:t>ЗИС.18</w:t>
            </w:r>
            <w:bookmarkEnd w:id="15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1" w:name="sub_111319"/>
            <w:r>
              <w:t>ЗИС.19</w:t>
            </w:r>
            <w:bookmarkEnd w:id="15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Изоляция процессов (выполнение програм</w:t>
            </w:r>
            <w:r>
              <w:t>м) в выделенной области памяти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2" w:name="sub_111320"/>
            <w:r>
              <w:t>ЗИС.20</w:t>
            </w:r>
            <w:bookmarkEnd w:id="15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153" w:name="sub_11014"/>
            <w:r>
              <w:t>XIV. Выявление инцидентов и реагирование на них (ИНЦ)</w:t>
            </w:r>
            <w:bookmarkEnd w:id="1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4" w:name="sub_110141"/>
            <w:r>
              <w:t>ИНЦ.1</w:t>
            </w:r>
            <w:bookmarkEnd w:id="15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5" w:name="sub_110142"/>
            <w:r>
              <w:t>ИНЦ.2</w:t>
            </w:r>
            <w:bookmarkEnd w:id="15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Обнаружение, идентификация и регистрация инцидентов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6" w:name="sub_110143"/>
            <w:r>
              <w:t>ИНЦ.3</w:t>
            </w:r>
            <w:bookmarkEnd w:id="15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7" w:name="sub_110144"/>
            <w:r>
              <w:t>ИНЦ.4</w:t>
            </w:r>
            <w:bookmarkEnd w:id="15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8" w:name="sub_110145"/>
            <w:r>
              <w:t>ИНЦ.5</w:t>
            </w:r>
            <w:bookmarkEnd w:id="15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Принятие мер по устранению последствий инцидентов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59" w:name="sub_110146"/>
            <w:r>
              <w:t>ИНЦ.6</w:t>
            </w:r>
            <w:bookmarkEnd w:id="15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 xml:space="preserve">Планирование и принятие мер по предотвращению </w:t>
            </w:r>
            <w:r>
              <w:lastRenderedPageBreak/>
              <w:t>повторного возникновения инцидентов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1"/>
            </w:pPr>
            <w:bookmarkStart w:id="160" w:name="sub_11015"/>
            <w:r>
              <w:t>XV. Управление конфигурацией информационной системы и системы защиты персональных данных (УКФ)</w:t>
            </w:r>
            <w:bookmarkEnd w:id="1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61" w:name="sub_110151"/>
            <w:r>
              <w:t>УКФ.1</w:t>
            </w:r>
            <w:bookmarkEnd w:id="16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Определение л</w:t>
            </w:r>
            <w:r>
              <w:t>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62" w:name="sub_110152"/>
            <w:r>
              <w:t>УКФ.2</w:t>
            </w:r>
            <w:bookmarkEnd w:id="16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63" w:name="sub_110153"/>
            <w:r>
              <w:t>УКФ.3</w:t>
            </w:r>
            <w:bookmarkEnd w:id="16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</w:t>
            </w:r>
            <w:r>
              <w:t>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bookmarkStart w:id="164" w:name="sub_110154"/>
            <w:r>
              <w:t>УКФ.4</w:t>
            </w:r>
            <w:bookmarkEnd w:id="16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c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DD0">
            <w:pPr>
              <w:pStyle w:val="aa"/>
              <w:jc w:val="center"/>
            </w:pPr>
            <w:r>
              <w:t>+</w:t>
            </w:r>
          </w:p>
        </w:tc>
      </w:tr>
    </w:tbl>
    <w:p w:rsidR="00000000" w:rsidRDefault="00281DD0"/>
    <w:p w:rsidR="00000000" w:rsidRDefault="00281DD0">
      <w:r>
        <w:t>"+" - мера по обеспечению безопасности персональных данных включена в базовый набор мер для соответствующего уровня защищ</w:t>
      </w:r>
      <w:r>
        <w:t>енности персональных данных.</w:t>
      </w:r>
    </w:p>
    <w:p w:rsidR="00000000" w:rsidRDefault="00281DD0"/>
    <w:p w:rsidR="00000000" w:rsidRDefault="00281DD0"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</w:t>
      </w:r>
      <w:r>
        <w:t>печению безопасности персональных данных.</w:t>
      </w:r>
    </w:p>
    <w:p w:rsidR="00281DD0" w:rsidRDefault="00281DD0"/>
    <w:sectPr w:rsidR="00281DD0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D0" w:rsidRDefault="00281DD0">
      <w:r>
        <w:separator/>
      </w:r>
    </w:p>
  </w:endnote>
  <w:endnote w:type="continuationSeparator" w:id="0">
    <w:p w:rsidR="00281DD0" w:rsidRDefault="0028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81D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3C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CA9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1D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1D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3C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CA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3C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CA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D0" w:rsidRDefault="00281DD0">
      <w:r>
        <w:separator/>
      </w:r>
    </w:p>
  </w:footnote>
  <w:footnote w:type="continuationSeparator" w:id="0">
    <w:p w:rsidR="00281DD0" w:rsidRDefault="0028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81D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техническому и экспортному контролю от 18 февраля 2013 г. N 21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A9"/>
    <w:rsid w:val="00281DD0"/>
    <w:rsid w:val="00A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FA1D6C-C5AF-40DF-BE1D-96F0C55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6635/1000" TargetMode="External"/><Relationship Id="rId13" Type="http://schemas.openxmlformats.org/officeDocument/2006/relationships/hyperlink" Target="http://ivo.garant.ru/document/redirect/70252506/0" TargetMode="External"/><Relationship Id="rId18" Type="http://schemas.openxmlformats.org/officeDocument/2006/relationships/hyperlink" Target="http://ivo.garant.ru/document/redirect/70252506/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36635/108131" TargetMode="External"/><Relationship Id="rId7" Type="http://schemas.openxmlformats.org/officeDocument/2006/relationships/hyperlink" Target="http://ivo.garant.ru/document/redirect/12148567/1904" TargetMode="External"/><Relationship Id="rId12" Type="http://schemas.openxmlformats.org/officeDocument/2006/relationships/hyperlink" Target="http://ivo.garant.ru/document/redirect/70252506/41" TargetMode="External"/><Relationship Id="rId17" Type="http://schemas.openxmlformats.org/officeDocument/2006/relationships/hyperlink" Target="http://ivo.garant.ru/document/redirect/70252506/41" TargetMode="External"/><Relationship Id="rId25" Type="http://schemas.openxmlformats.org/officeDocument/2006/relationships/hyperlink" Target="http://ivo.garant.ru/document/redirect/77698901/12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8555/165" TargetMode="External"/><Relationship Id="rId20" Type="http://schemas.openxmlformats.org/officeDocument/2006/relationships/hyperlink" Target="http://ivo.garant.ru/document/redirect/77698901/101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48567/1904" TargetMode="External"/><Relationship Id="rId24" Type="http://schemas.openxmlformats.org/officeDocument/2006/relationships/hyperlink" Target="http://ivo.garant.ru/document/redirect/74364326/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52506/0" TargetMode="External"/><Relationship Id="rId23" Type="http://schemas.openxmlformats.org/officeDocument/2006/relationships/hyperlink" Target="http://ivo.garant.ru/document/redirect/73728119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12173511/0" TargetMode="External"/><Relationship Id="rId19" Type="http://schemas.openxmlformats.org/officeDocument/2006/relationships/hyperlink" Target="http://ivo.garant.ru/document/redirect/7436432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6635/0" TargetMode="External"/><Relationship Id="rId14" Type="http://schemas.openxmlformats.org/officeDocument/2006/relationships/hyperlink" Target="http://ivo.garant.ru/document/redirect/70252506/41" TargetMode="External"/><Relationship Id="rId22" Type="http://schemas.openxmlformats.org/officeDocument/2006/relationships/hyperlink" Target="http://ivo.garant.ru/document/redirect/12136635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dcterms:created xsi:type="dcterms:W3CDTF">2021-06-30T12:15:00Z</dcterms:created>
  <dcterms:modified xsi:type="dcterms:W3CDTF">2021-06-30T12:15:00Z</dcterms:modified>
</cp:coreProperties>
</file>