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2681">
      <w:pPr>
        <w:pStyle w:val="printredaction-line"/>
        <w:divId w:val="1758018566"/>
      </w:pPr>
      <w:r>
        <w:t>Редакция от 1 янв 2016</w:t>
      </w:r>
    </w:p>
    <w:p w:rsidR="00000000" w:rsidRDefault="00502681">
      <w:pPr>
        <w:pStyle w:val="1"/>
        <w:divId w:val="175801856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Проведение независимой оценки качества образования по инициативе ОО</w:t>
      </w:r>
    </w:p>
    <w:p w:rsidR="00000000" w:rsidRDefault="00502681">
      <w:pPr>
        <w:pStyle w:val="a3"/>
        <w:divId w:val="1521117491"/>
      </w:pPr>
      <w:hyperlink r:id="rId5" w:anchor="/document/99/902389617/XA00RPA2OC/" w:history="1">
        <w:r>
          <w:rPr>
            <w:rStyle w:val="a4"/>
          </w:rPr>
          <w:t>Статья 95.1</w:t>
        </w:r>
      </w:hyperlink>
      <w:r>
        <w:t xml:space="preserve"> "Независимая оценка качества подготовки обучающихся" </w:t>
      </w:r>
      <w:r>
        <w:t>Федерального закона от 29 декабря 2012 г. № 273-ФЗ "Об образовании в Российской Федерации" регламентирует условия проведения</w:t>
      </w:r>
      <w:r>
        <w:t xml:space="preserve"> </w:t>
      </w:r>
      <w:hyperlink r:id="rId6" w:anchor="/document/16/3566/" w:tooltip="Независимая оценка качества образовательной деятельности организаций" w:history="1">
        <w:r>
          <w:rPr>
            <w:rStyle w:val="a4"/>
          </w:rPr>
          <w:t>независимой оценки</w:t>
        </w:r>
      </w:hyperlink>
      <w:r>
        <w:t xml:space="preserve"> качества подготовки обучающихся (далее – НОК ПО) в образовательной организации (далее – ОО)</w:t>
      </w:r>
      <w:r>
        <w:t>.</w:t>
      </w:r>
    </w:p>
    <w:p w:rsidR="00000000" w:rsidRDefault="00502681">
      <w:pPr>
        <w:pStyle w:val="a3"/>
        <w:divId w:val="1521117491"/>
      </w:pPr>
      <w:r>
        <w:t>Независимую оценку качества образования (далее – НОКО) целесообразно проводить в соответствии с методическими рекомендациями по НОКО, напр</w:t>
      </w:r>
      <w:r>
        <w:t>авленными письмом Минобрнауки России от 3 апреля 2015 г.</w:t>
      </w:r>
      <w:r>
        <w:t xml:space="preserve"> </w:t>
      </w:r>
      <w:hyperlink r:id="rId7" w:anchor="/document/99/420275219/" w:history="1">
        <w:r>
          <w:rPr>
            <w:rStyle w:val="a4"/>
          </w:rPr>
          <w:t>№ АП-512/02</w:t>
        </w:r>
      </w:hyperlink>
      <w:r>
        <w:t xml:space="preserve"> и разработанными в контексте реализации Федерального закона от 29 декабря 2012 г.</w:t>
      </w:r>
      <w:r>
        <w:t xml:space="preserve"> </w:t>
      </w:r>
      <w:hyperlink r:id="rId8" w:anchor="/document/99/902389617/" w:history="1">
        <w:r>
          <w:rPr>
            <w:rStyle w:val="a4"/>
          </w:rPr>
          <w:t>№ 273-ФЗ</w:t>
        </w:r>
      </w:hyperlink>
      <w:r>
        <w:t xml:space="preserve"> "Об образовании в Российской Федерации"</w:t>
      </w:r>
      <w:r>
        <w:t>.</w:t>
      </w:r>
    </w:p>
    <w:p w:rsidR="00000000" w:rsidRDefault="00502681">
      <w:pPr>
        <w:pStyle w:val="a3"/>
        <w:divId w:val="1521117491"/>
      </w:pPr>
      <w:r>
        <w:t xml:space="preserve">НОК ПО проводится по инициативе участников отношений в сфере образования в целях подготовки информации об уровне освоения обучающимися образовательных программ или их частей, </w:t>
      </w:r>
      <w:r>
        <w:t>предоставления участникам отношений в сфере образования информации о качестве подготовки обучающихся, в т. ч.</w:t>
      </w:r>
      <w:r>
        <w:t>:</w:t>
      </w:r>
    </w:p>
    <w:p w:rsidR="00000000" w:rsidRDefault="00502681">
      <w:pPr>
        <w:numPr>
          <w:ilvl w:val="0"/>
          <w:numId w:val="1"/>
        </w:numPr>
        <w:spacing w:after="103"/>
        <w:ind w:left="686"/>
        <w:divId w:val="1521117491"/>
        <w:rPr>
          <w:rFonts w:eastAsia="Times New Roman"/>
        </w:rPr>
      </w:pPr>
      <w:r>
        <w:rPr>
          <w:rFonts w:eastAsia="Times New Roman"/>
        </w:rPr>
        <w:t>для определения соответствия качества подготовки обучающихся требованиям реализуемых программ; выявление факторов, влияющих на качество подготовк</w:t>
      </w:r>
      <w:r>
        <w:rPr>
          <w:rFonts w:eastAsia="Times New Roman"/>
        </w:rPr>
        <w:t>и обучающихся (в т. ч. применяемых образовательных технологий, методик, приемов обучения, учебно-методических комплексов);</w:t>
      </w:r>
    </w:p>
    <w:p w:rsidR="00000000" w:rsidRDefault="00502681">
      <w:pPr>
        <w:numPr>
          <w:ilvl w:val="0"/>
          <w:numId w:val="1"/>
        </w:numPr>
        <w:spacing w:after="103"/>
        <w:ind w:left="686"/>
        <w:divId w:val="1521117491"/>
        <w:rPr>
          <w:rFonts w:eastAsia="Times New Roman"/>
        </w:rPr>
      </w:pPr>
      <w:r>
        <w:rPr>
          <w:rFonts w:eastAsia="Times New Roman"/>
        </w:rPr>
        <w:t>выявления уровня образовательных достижений различных групп обучающихся;</w:t>
      </w:r>
    </w:p>
    <w:p w:rsidR="00000000" w:rsidRDefault="00502681">
      <w:pPr>
        <w:numPr>
          <w:ilvl w:val="0"/>
          <w:numId w:val="1"/>
        </w:numPr>
        <w:spacing w:after="103"/>
        <w:ind w:left="686"/>
        <w:divId w:val="1521117491"/>
        <w:rPr>
          <w:rFonts w:eastAsia="Times New Roman"/>
        </w:rPr>
      </w:pPr>
      <w:r>
        <w:rPr>
          <w:rFonts w:eastAsia="Times New Roman"/>
        </w:rPr>
        <w:t>выявления динамики изменения качества подготовки обучающихся</w:t>
      </w:r>
      <w:r>
        <w:rPr>
          <w:rFonts w:eastAsia="Times New Roman"/>
        </w:rPr>
        <w:t>;</w:t>
      </w:r>
    </w:p>
    <w:p w:rsidR="00000000" w:rsidRDefault="00502681">
      <w:pPr>
        <w:numPr>
          <w:ilvl w:val="0"/>
          <w:numId w:val="1"/>
        </w:numPr>
        <w:spacing w:after="103"/>
        <w:ind w:left="686"/>
        <w:divId w:val="1521117491"/>
        <w:rPr>
          <w:rFonts w:eastAsia="Times New Roman"/>
        </w:rPr>
      </w:pPr>
      <w:r>
        <w:rPr>
          <w:rFonts w:eastAsia="Times New Roman"/>
        </w:rPr>
        <w:t xml:space="preserve">определения степени эффективности принимаемых управленческих решений (например, при проведении конкурсного отбора лучших образовательных организаций, при распределении грантов, кадровых перестановках, разработке программы по развитию системы образования </w:t>
      </w:r>
      <w:r>
        <w:rPr>
          <w:rFonts w:eastAsia="Times New Roman"/>
        </w:rPr>
        <w:t>и др.) на различных уровнях системы образования (включая уровень ОО);</w:t>
      </w:r>
    </w:p>
    <w:p w:rsidR="00000000" w:rsidRDefault="00502681">
      <w:pPr>
        <w:numPr>
          <w:ilvl w:val="0"/>
          <w:numId w:val="1"/>
        </w:numPr>
        <w:spacing w:after="103"/>
        <w:ind w:left="686"/>
        <w:divId w:val="1521117491"/>
        <w:rPr>
          <w:rFonts w:eastAsia="Times New Roman"/>
        </w:rPr>
      </w:pPr>
      <w:r>
        <w:rPr>
          <w:rFonts w:eastAsia="Times New Roman"/>
        </w:rPr>
        <w:t>создания необходимой базы информационно-аналитических материалов для принятия управленческих решений на различных уровнях системы образования (включая уровень образовательной организации</w:t>
      </w:r>
      <w:r>
        <w:rPr>
          <w:rFonts w:eastAsia="Times New Roman"/>
        </w:rPr>
        <w:t>), направленных на повышение качества подготовки обучающихся.</w:t>
      </w:r>
    </w:p>
    <w:p w:rsidR="00000000" w:rsidRDefault="00502681">
      <w:pPr>
        <w:pStyle w:val="a3"/>
        <w:divId w:val="1521117491"/>
      </w:pPr>
      <w:r>
        <w:t>Инициировать проведение НОК ПО могут</w:t>
      </w:r>
      <w:r>
        <w:t>:</w:t>
      </w:r>
    </w:p>
    <w:p w:rsidR="00000000" w:rsidRDefault="00502681">
      <w:pPr>
        <w:numPr>
          <w:ilvl w:val="0"/>
          <w:numId w:val="2"/>
        </w:numPr>
        <w:spacing w:after="103"/>
        <w:ind w:left="686"/>
        <w:divId w:val="1521117491"/>
        <w:rPr>
          <w:rFonts w:eastAsia="Times New Roman"/>
        </w:rPr>
      </w:pPr>
      <w:r>
        <w:rPr>
          <w:rFonts w:eastAsia="Times New Roman"/>
        </w:rPr>
        <w:t>обучающиеся;</w:t>
      </w:r>
    </w:p>
    <w:p w:rsidR="00000000" w:rsidRDefault="00502681">
      <w:pPr>
        <w:numPr>
          <w:ilvl w:val="0"/>
          <w:numId w:val="2"/>
        </w:numPr>
        <w:spacing w:after="103"/>
        <w:ind w:left="686"/>
        <w:divId w:val="1521117491"/>
        <w:rPr>
          <w:rFonts w:eastAsia="Times New Roman"/>
        </w:rPr>
      </w:pPr>
      <w:r>
        <w:rPr>
          <w:rFonts w:eastAsia="Times New Roman"/>
        </w:rPr>
        <w:t>родители (законные представители) несовершеннолетних обучающихся;</w:t>
      </w:r>
    </w:p>
    <w:p w:rsidR="00000000" w:rsidRDefault="00502681">
      <w:pPr>
        <w:numPr>
          <w:ilvl w:val="0"/>
          <w:numId w:val="2"/>
        </w:numPr>
        <w:spacing w:after="103"/>
        <w:ind w:left="686"/>
        <w:divId w:val="1521117491"/>
        <w:rPr>
          <w:rFonts w:eastAsia="Times New Roman"/>
        </w:rPr>
      </w:pPr>
      <w:r>
        <w:rPr>
          <w:rFonts w:eastAsia="Times New Roman"/>
        </w:rPr>
        <w:t>педагогические работники и их представители;</w:t>
      </w:r>
    </w:p>
    <w:p w:rsidR="00000000" w:rsidRDefault="00502681">
      <w:pPr>
        <w:numPr>
          <w:ilvl w:val="0"/>
          <w:numId w:val="2"/>
        </w:numPr>
        <w:spacing w:after="103"/>
        <w:ind w:left="686"/>
        <w:divId w:val="1521117491"/>
        <w:rPr>
          <w:rFonts w:eastAsia="Times New Roman"/>
        </w:rPr>
      </w:pPr>
      <w:r>
        <w:rPr>
          <w:rFonts w:eastAsia="Times New Roman"/>
        </w:rPr>
        <w:t>ОО (в т. ч. управляющий или попе</w:t>
      </w:r>
      <w:r>
        <w:rPr>
          <w:rFonts w:eastAsia="Times New Roman"/>
        </w:rPr>
        <w:t>чительский совет и администрация ОО, которые совместно выявляют значимые для оценивания качества подготовки обучающихся индикаторы);</w:t>
      </w:r>
    </w:p>
    <w:p w:rsidR="00000000" w:rsidRDefault="00502681">
      <w:pPr>
        <w:numPr>
          <w:ilvl w:val="0"/>
          <w:numId w:val="2"/>
        </w:numPr>
        <w:spacing w:after="103"/>
        <w:ind w:left="686"/>
        <w:divId w:val="1521117491"/>
        <w:rPr>
          <w:rFonts w:eastAsia="Times New Roman"/>
        </w:rPr>
      </w:pPr>
      <w:r>
        <w:rPr>
          <w:rFonts w:eastAsia="Times New Roman"/>
        </w:rPr>
        <w:t>работодатели и их объединения;</w:t>
      </w:r>
    </w:p>
    <w:p w:rsidR="00000000" w:rsidRDefault="00502681">
      <w:pPr>
        <w:numPr>
          <w:ilvl w:val="0"/>
          <w:numId w:val="2"/>
        </w:numPr>
        <w:spacing w:after="103"/>
        <w:ind w:left="686"/>
        <w:divId w:val="1521117491"/>
        <w:rPr>
          <w:rFonts w:eastAsia="Times New Roman"/>
        </w:rPr>
      </w:pPr>
      <w:r>
        <w:rPr>
          <w:rFonts w:eastAsia="Times New Roman"/>
        </w:rPr>
        <w:lastRenderedPageBreak/>
        <w:t>федеральные государственные органы, органы государственной власти субъектов Российской Федер</w:t>
      </w:r>
      <w:r>
        <w:rPr>
          <w:rFonts w:eastAsia="Times New Roman"/>
        </w:rPr>
        <w:t>ации, органы местного самоуправления.</w:t>
      </w:r>
    </w:p>
    <w:p w:rsidR="00000000" w:rsidRDefault="00502681">
      <w:pPr>
        <w:pStyle w:val="a3"/>
        <w:divId w:val="1521117491"/>
      </w:pPr>
      <w:r>
        <w:t xml:space="preserve">Если НОК ПО инициирована ОО, то управляющий или попечительский совет и администрация ОО определяют организацию, которая будет проводить это исследование. При этом необходимо четкое понимание всеми членами управляющего </w:t>
      </w:r>
      <w:r>
        <w:t>или попечительского совета, что на проведение подобного исследования расходуются внебюджетные средства ОО, т. к. процедура независимой оценки качества подготовки обучающихся не закладывается в систему финансирования деятельности ОО. Члены попечительского и</w:t>
      </w:r>
      <w:r>
        <w:t>ли управляющего совета должны вместе с администрацией ОО обсудить программу исследования и модель проводимого аудита качества подготовки обучающихся. Выбирая организацию, которая будет проводить исследование качества подготовки обучающихся, необходимо обра</w:t>
      </w:r>
      <w:r>
        <w:t>тить внимание на проведенные ранее этой организацией подобные исследования и на наличие рекомендаций по выявленным проблемам, которые эта организация предоставляла своим клиентам в системе образования. После проведения независимой оценки качества подготовк</w:t>
      </w:r>
      <w:r>
        <w:t>и обучающихся администрация и попечительский или управляющий совет ОО обсуждают полученные показатели и вырабатывают стратегию по устранению недостатков организации образовательной деятельности обучающихся. Рекомендуется проводить подобные исследования рег</w:t>
      </w:r>
      <w:r>
        <w:t>улярно, чтобы видеть динамику устранения рисков и недочетов в работе, а также положительные изменения. Только в этом случае можно оценить эффективность принятия управленческих решений администрацией ОО</w:t>
      </w:r>
      <w:r>
        <w:t>.</w:t>
      </w:r>
    </w:p>
    <w:p w:rsidR="00000000" w:rsidRDefault="00502681">
      <w:pPr>
        <w:pStyle w:val="a3"/>
        <w:divId w:val="1521117491"/>
      </w:pPr>
      <w:r>
        <w:t>При проведении НОК ПО администрация ОО обеспечивает</w:t>
      </w:r>
      <w:r>
        <w:t>:</w:t>
      </w:r>
    </w:p>
    <w:p w:rsidR="00000000" w:rsidRDefault="00502681">
      <w:pPr>
        <w:numPr>
          <w:ilvl w:val="0"/>
          <w:numId w:val="3"/>
        </w:numPr>
        <w:spacing w:after="103"/>
        <w:ind w:left="686"/>
        <w:divId w:val="1521117491"/>
        <w:rPr>
          <w:rFonts w:eastAsia="Times New Roman"/>
        </w:rPr>
      </w:pPr>
      <w:r>
        <w:rPr>
          <w:rFonts w:eastAsia="Times New Roman"/>
        </w:rPr>
        <w:t>сбор необходимой информации и ее представление организации, осуществляющей НОК ПО, в соответствии с требованиями оценочной процедуры;</w:t>
      </w:r>
    </w:p>
    <w:p w:rsidR="00000000" w:rsidRDefault="00502681">
      <w:pPr>
        <w:numPr>
          <w:ilvl w:val="0"/>
          <w:numId w:val="3"/>
        </w:numPr>
        <w:spacing w:after="103"/>
        <w:ind w:left="686"/>
        <w:divId w:val="1521117491"/>
        <w:rPr>
          <w:rFonts w:eastAsia="Times New Roman"/>
        </w:rPr>
      </w:pPr>
      <w:r>
        <w:rPr>
          <w:rFonts w:eastAsia="Times New Roman"/>
        </w:rPr>
        <w:t>необходимые условия для проведения оценочной процедуры в соответствии с инструктивными методическими материалами;</w:t>
      </w:r>
    </w:p>
    <w:p w:rsidR="00000000" w:rsidRDefault="00502681">
      <w:pPr>
        <w:numPr>
          <w:ilvl w:val="0"/>
          <w:numId w:val="3"/>
        </w:numPr>
        <w:spacing w:after="103"/>
        <w:ind w:left="686"/>
        <w:divId w:val="1521117491"/>
        <w:rPr>
          <w:rFonts w:eastAsia="Times New Roman"/>
        </w:rPr>
      </w:pPr>
      <w:r>
        <w:rPr>
          <w:rFonts w:eastAsia="Times New Roman"/>
        </w:rPr>
        <w:t>по резул</w:t>
      </w:r>
      <w:r>
        <w:rPr>
          <w:rFonts w:eastAsia="Times New Roman"/>
        </w:rPr>
        <w:t>ьтатам участия в процедурах независимой оценки разрабатывает план мероприятий по улучшению качества подготовки обучающихся;</w:t>
      </w:r>
    </w:p>
    <w:p w:rsidR="00000000" w:rsidRDefault="00502681">
      <w:pPr>
        <w:numPr>
          <w:ilvl w:val="0"/>
          <w:numId w:val="3"/>
        </w:numPr>
        <w:spacing w:after="103"/>
        <w:ind w:left="686"/>
        <w:divId w:val="1521117491"/>
        <w:rPr>
          <w:rFonts w:eastAsia="Times New Roman"/>
        </w:rPr>
      </w:pPr>
      <w:r>
        <w:rPr>
          <w:rFonts w:eastAsia="Times New Roman"/>
        </w:rPr>
        <w:t>использует результаты НОК ПО для решения задач, отраженных в образовательной программе (программах) ОО, а также с целью повышения эф</w:t>
      </w:r>
      <w:r>
        <w:rPr>
          <w:rFonts w:eastAsia="Times New Roman"/>
        </w:rPr>
        <w:t>фективности деятельности, достижения результатов освоения образовательных программ, соответствующих требованиям федеральных государственных образовательных стандартов общего образования;</w:t>
      </w:r>
    </w:p>
    <w:p w:rsidR="00000000" w:rsidRDefault="00502681">
      <w:pPr>
        <w:numPr>
          <w:ilvl w:val="0"/>
          <w:numId w:val="3"/>
        </w:numPr>
        <w:spacing w:after="103"/>
        <w:ind w:left="686"/>
        <w:divId w:val="1521117491"/>
        <w:rPr>
          <w:rFonts w:eastAsia="Times New Roman"/>
        </w:rPr>
      </w:pPr>
      <w:r>
        <w:rPr>
          <w:rFonts w:eastAsia="Times New Roman"/>
        </w:rPr>
        <w:t>обеспечивает открытость и доступ к информации об осуществлении НОК ПО</w:t>
      </w:r>
      <w:r>
        <w:rPr>
          <w:rFonts w:eastAsia="Times New Roman"/>
        </w:rPr>
        <w:t xml:space="preserve"> на всех ее этапах.</w:t>
      </w:r>
    </w:p>
    <w:p w:rsidR="00000000" w:rsidRDefault="00502681">
      <w:pPr>
        <w:pStyle w:val="a3"/>
        <w:divId w:val="1521117491"/>
      </w:pPr>
      <w:r>
        <w:t>Независимая оценка качества образовательной деятельности ОО может также проводиться</w:t>
      </w:r>
      <w:r>
        <w:t xml:space="preserve"> </w:t>
      </w:r>
      <w:hyperlink r:id="rId9" w:anchor="/document/16/3568/" w:tooltip="Деятельность общественных советов в системе независимой оценки качества образования" w:history="1">
        <w:r>
          <w:rPr>
            <w:rStyle w:val="a4"/>
          </w:rPr>
          <w:t>общественными советами</w:t>
        </w:r>
      </w:hyperlink>
      <w:r>
        <w:t xml:space="preserve"> . Итоги независимой оценки качества образовательной деятельности ОО могут быть</w:t>
      </w:r>
      <w:r>
        <w:t xml:space="preserve"> </w:t>
      </w:r>
      <w:hyperlink r:id="rId10" w:anchor="/document/16/3567/" w:tooltip=" Формы представления независимой оценки качества образовательной деятельности ОО" w:history="1">
        <w:r>
          <w:rPr>
            <w:rStyle w:val="a4"/>
          </w:rPr>
          <w:t>предс</w:t>
        </w:r>
        <w:r>
          <w:rPr>
            <w:rStyle w:val="a4"/>
          </w:rPr>
          <w:t>тавлены в разных формах</w:t>
        </w:r>
      </w:hyperlink>
      <w:r>
        <w:t xml:space="preserve"> (рейтинга, ренкинга, таблицы лиг)</w:t>
      </w:r>
      <w:r>
        <w:t>.</w:t>
      </w:r>
    </w:p>
    <w:p w:rsidR="00502681" w:rsidRDefault="00502681">
      <w:pPr>
        <w:divId w:val="963314832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2"/>
          <w:szCs w:val="22"/>
        </w:rPr>
        <w:br/>
        <w:t>mini.1obraz.ru</w:t>
      </w:r>
      <w:r>
        <w:rPr>
          <w:rFonts w:ascii="Arial" w:eastAsia="Times New Roman" w:hAnsi="Arial" w:cs="Arial"/>
          <w:sz w:val="22"/>
          <w:szCs w:val="22"/>
        </w:rPr>
        <w:br/>
        <w:t>Дата копирования: 11.08.2016</w:t>
      </w:r>
    </w:p>
    <w:sectPr w:rsidR="0050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50E"/>
    <w:multiLevelType w:val="multilevel"/>
    <w:tmpl w:val="B2B2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175E0"/>
    <w:multiLevelType w:val="multilevel"/>
    <w:tmpl w:val="BFBE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24BD5"/>
    <w:multiLevelType w:val="multilevel"/>
    <w:tmpl w:val="CE8A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742A5B"/>
    <w:rsid w:val="00502681"/>
    <w:rsid w:val="0074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actiondigital.ru/prefs"/>
  <w:attachedSchema w:val="http://actiondigital.ru/namespaces/syste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837"/>
    </w:pPr>
    <w:rPr>
      <w:rFonts w:ascii="Arial" w:hAnsi="Arial" w:cs="Arial"/>
      <w:sz w:val="22"/>
      <w:szCs w:val="22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3"/>
      <w:szCs w:val="23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4832">
      <w:marLeft w:val="0"/>
      <w:marRight w:val="0"/>
      <w:marTop w:val="83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56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491">
          <w:marLeft w:val="0"/>
          <w:marRight w:val="0"/>
          <w:marTop w:val="5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i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i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ini.1obraz.ru/" TargetMode="External"/><Relationship Id="rId10" Type="http://schemas.openxmlformats.org/officeDocument/2006/relationships/hyperlink" Target="http://mini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Аслижан</dc:creator>
  <cp:lastModifiedBy>Аслижан</cp:lastModifiedBy>
  <cp:revision>2</cp:revision>
  <dcterms:created xsi:type="dcterms:W3CDTF">2016-08-11T13:07:00Z</dcterms:created>
  <dcterms:modified xsi:type="dcterms:W3CDTF">2016-08-11T13:07:00Z</dcterms:modified>
</cp:coreProperties>
</file>