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F" w:rsidRPr="005A78E2" w:rsidRDefault="009C7C0F" w:rsidP="009C7C0F">
      <w:pPr>
        <w:pStyle w:val="a3"/>
      </w:pPr>
      <w:r>
        <w:t>М</w:t>
      </w:r>
      <w:r w:rsidRPr="005A78E2">
        <w:t xml:space="preserve">униципальный этап </w:t>
      </w:r>
    </w:p>
    <w:p w:rsidR="009C7C0F" w:rsidRDefault="009C7C0F" w:rsidP="009C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</w:t>
      </w:r>
      <w:r w:rsidRPr="005A78E2"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  <w:t xml:space="preserve">школьников </w:t>
      </w:r>
    </w:p>
    <w:p w:rsidR="009C7C0F" w:rsidRPr="005A78E2" w:rsidRDefault="009C7C0F" w:rsidP="009C7C0F">
      <w:pPr>
        <w:jc w:val="center"/>
        <w:rPr>
          <w:b/>
          <w:sz w:val="28"/>
          <w:szCs w:val="28"/>
        </w:rPr>
      </w:pPr>
      <w:r w:rsidRPr="005A78E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физике</w:t>
      </w:r>
    </w:p>
    <w:p w:rsidR="009C7C0F" w:rsidRPr="005A78E2" w:rsidRDefault="009C7C0F" w:rsidP="009C7C0F">
      <w:pPr>
        <w:spacing w:before="120" w:after="120"/>
        <w:jc w:val="center"/>
        <w:rPr>
          <w:b/>
        </w:rPr>
      </w:pPr>
      <w:r w:rsidRPr="005A78E2">
        <w:rPr>
          <w:b/>
        </w:rPr>
        <w:t>20</w:t>
      </w:r>
      <w:r>
        <w:rPr>
          <w:b/>
        </w:rPr>
        <w:t>16–</w:t>
      </w:r>
      <w:r w:rsidRPr="005A78E2">
        <w:rPr>
          <w:b/>
        </w:rPr>
        <w:t>20</w:t>
      </w:r>
      <w:r>
        <w:rPr>
          <w:b/>
        </w:rPr>
        <w:t>17</w:t>
      </w:r>
      <w:r w:rsidRPr="005A78E2">
        <w:rPr>
          <w:b/>
        </w:rPr>
        <w:t xml:space="preserve"> учебный год</w:t>
      </w:r>
    </w:p>
    <w:p w:rsidR="009C7C0F" w:rsidRDefault="009C7C0F" w:rsidP="009C7C0F">
      <w:pPr>
        <w:jc w:val="center"/>
        <w:rPr>
          <w:b/>
          <w:sz w:val="28"/>
          <w:szCs w:val="28"/>
        </w:rPr>
      </w:pPr>
      <w:r w:rsidRPr="005E635C">
        <w:rPr>
          <w:b/>
          <w:sz w:val="28"/>
          <w:szCs w:val="28"/>
        </w:rPr>
        <w:t>7 класс</w:t>
      </w:r>
    </w:p>
    <w:p w:rsidR="009C7C0F" w:rsidRPr="005E635C" w:rsidRDefault="009C7C0F" w:rsidP="009C7C0F">
      <w:pPr>
        <w:jc w:val="center"/>
        <w:rPr>
          <w:b/>
          <w:sz w:val="28"/>
          <w:szCs w:val="28"/>
        </w:rPr>
      </w:pPr>
    </w:p>
    <w:p w:rsidR="002A6B8F" w:rsidRPr="00D97FBA" w:rsidRDefault="002A6B8F" w:rsidP="002A6B8F">
      <w:pPr>
        <w:spacing w:line="360" w:lineRule="auto"/>
        <w:ind w:firstLine="540"/>
        <w:rPr>
          <w:b/>
        </w:rPr>
      </w:pPr>
      <w:r w:rsidRPr="00DB40F0">
        <w:rPr>
          <w:b/>
        </w:rPr>
        <w:t xml:space="preserve">Задача </w:t>
      </w:r>
      <w:r>
        <w:rPr>
          <w:b/>
        </w:rPr>
        <w:t xml:space="preserve">1. </w:t>
      </w:r>
      <w:r w:rsidRPr="00D97FBA">
        <w:rPr>
          <w:b/>
        </w:rPr>
        <w:t>Баррель и тонна нефти.</w:t>
      </w:r>
    </w:p>
    <w:p w:rsidR="002A6B8F" w:rsidRPr="00D97FBA" w:rsidRDefault="002A6B8F" w:rsidP="002A6B8F">
      <w:pPr>
        <w:ind w:firstLine="540"/>
        <w:jc w:val="both"/>
      </w:pPr>
      <w:r w:rsidRPr="00D97FBA">
        <w:t xml:space="preserve">Нефтяной баррель – это объём в </w:t>
      </w:r>
      <w:smartTag w:uri="urn:schemas-microsoft-com:office:smarttags" w:element="metricconverter">
        <w:smartTagPr>
          <w:attr w:name="ProductID" w:val="160 литров"/>
        </w:smartTagPr>
        <w:r w:rsidRPr="00D97FBA">
          <w:t>160 литров</w:t>
        </w:r>
      </w:smartTag>
      <w:r w:rsidRPr="00D97FBA">
        <w:t xml:space="preserve">. В России в следующем году по прогнозам добыча нефти составит 400 миллионов тонн. Сколько баррелей нефти будет добыто в России в 2010 году? При расчетах примите, что в </w:t>
      </w:r>
      <m:oMath>
        <m:r>
          <w:rPr>
            <w:rFonts w:ascii="Cambria Math" w:hAnsi="Cambria Math"/>
          </w:rPr>
          <m:t xml:space="preserve">1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97FBA">
        <w:t xml:space="preserve"> содержится </w:t>
      </w:r>
      <m:oMath>
        <m:r>
          <w:rPr>
            <w:rFonts w:ascii="Cambria Math" w:hAnsi="Cambria Math"/>
          </w:rPr>
          <m:t>0,9 г</m:t>
        </m:r>
      </m:oMath>
      <w:r w:rsidRPr="00D97FBA">
        <w:t xml:space="preserve"> нефти.</w:t>
      </w:r>
    </w:p>
    <w:p w:rsidR="0026454F" w:rsidRPr="00D97FBA" w:rsidRDefault="0026454F" w:rsidP="0026454F">
      <w:pPr>
        <w:pStyle w:val="6"/>
        <w:spacing w:before="120" w:line="360" w:lineRule="auto"/>
        <w:ind w:firstLine="539"/>
        <w:jc w:val="left"/>
        <w:rPr>
          <w:color w:val="auto"/>
          <w:szCs w:val="24"/>
        </w:rPr>
      </w:pPr>
      <w:r w:rsidRPr="0026454F">
        <w:t>Задача 2</w:t>
      </w:r>
      <w:r w:rsidRPr="00D97FBA">
        <w:rPr>
          <w:b w:val="0"/>
        </w:rPr>
        <w:t xml:space="preserve">. </w:t>
      </w:r>
      <w:r w:rsidRPr="00D97FBA">
        <w:rPr>
          <w:color w:val="auto"/>
          <w:szCs w:val="24"/>
        </w:rPr>
        <w:t>Железо и алюминий.</w:t>
      </w:r>
    </w:p>
    <w:p w:rsidR="0026454F" w:rsidRPr="00D97FBA" w:rsidRDefault="0026454F" w:rsidP="0026454F">
      <w:pPr>
        <w:pStyle w:val="a7"/>
        <w:ind w:firstLine="540"/>
        <w:jc w:val="both"/>
        <w:rPr>
          <w:color w:val="auto"/>
          <w:szCs w:val="24"/>
        </w:rPr>
      </w:pPr>
      <w:r w:rsidRPr="00D97FBA">
        <w:rPr>
          <w:color w:val="auto"/>
          <w:w w:val="107"/>
          <w:szCs w:val="24"/>
        </w:rPr>
        <w:t xml:space="preserve">При одинаковых объемах заготовка железа имеет массу на </w:t>
      </w:r>
      <w:smartTag w:uri="urn:schemas-microsoft-com:office:smarttags" w:element="metricconverter">
        <w:smartTagPr>
          <w:attr w:name="ProductID" w:val="12,75 кг"/>
        </w:smartTagPr>
        <w:r w:rsidRPr="00D97FBA">
          <w:rPr>
            <w:color w:val="auto"/>
            <w:w w:val="107"/>
            <w:szCs w:val="24"/>
          </w:rPr>
          <w:t xml:space="preserve">12,75 </w:t>
        </w:r>
        <w:r w:rsidRPr="00D97FBA">
          <w:rPr>
            <w:i/>
            <w:color w:val="auto"/>
            <w:w w:val="107"/>
            <w:szCs w:val="24"/>
          </w:rPr>
          <w:t>кг</w:t>
        </w:r>
      </w:smartTag>
      <w:r w:rsidRPr="00D97FBA">
        <w:rPr>
          <w:color w:val="auto"/>
          <w:w w:val="107"/>
          <w:szCs w:val="24"/>
        </w:rPr>
        <w:t xml:space="preserve"> большую, чем заготовка алюминия. Определить массу заготовок железа и алюминия. </w:t>
      </w:r>
    </w:p>
    <w:p w:rsidR="0026454F" w:rsidRPr="00D97FBA" w:rsidRDefault="0026454F" w:rsidP="0026454F">
      <w:pPr>
        <w:ind w:firstLine="540"/>
        <w:rPr>
          <w:b/>
        </w:rPr>
      </w:pPr>
      <w:r w:rsidRPr="00D97FBA">
        <w:rPr>
          <w:b/>
        </w:rPr>
        <w:t>Справочные данные</w:t>
      </w:r>
      <w:proofErr w:type="gramStart"/>
      <w:r w:rsidRPr="00D97FBA">
        <w:rPr>
          <w:b/>
        </w:rPr>
        <w:t>:</w:t>
      </w:r>
      <w:r w:rsidRPr="00D97FBA">
        <w:t xml:space="preserve"> </w:t>
      </w:r>
      <w:r w:rsidRPr="00D97FBA">
        <w:rPr>
          <w:b/>
          <w:position w:val="-26"/>
        </w:rPr>
        <w:object w:dxaOrig="1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2.25pt" o:ole="">
            <v:imagedata r:id="rId4" o:title=""/>
          </v:shape>
          <o:OLEObject Type="Embed" ProgID="Equation.3" ShapeID="_x0000_i1025" DrawAspect="Content" ObjectID="_1546722747" r:id="rId5"/>
        </w:object>
      </w:r>
      <w:r w:rsidRPr="00D97FBA">
        <w:t>;</w:t>
      </w:r>
      <w:r w:rsidRPr="00D97FBA">
        <w:rPr>
          <w:b/>
        </w:rPr>
        <w:t xml:space="preserve">    </w:t>
      </w:r>
      <w:r w:rsidRPr="00D97FBA">
        <w:rPr>
          <w:b/>
          <w:position w:val="-26"/>
        </w:rPr>
        <w:object w:dxaOrig="1700" w:dyaOrig="700">
          <v:shape id="_x0000_i1026" type="#_x0000_t75" style="width:74.25pt;height:30.75pt" o:ole="">
            <v:imagedata r:id="rId6" o:title=""/>
          </v:shape>
          <o:OLEObject Type="Embed" ProgID="Equation.3" ShapeID="_x0000_i1026" DrawAspect="Content" ObjectID="_1546722748" r:id="rId7"/>
        </w:object>
      </w:r>
      <w:proofErr w:type="gramEnd"/>
    </w:p>
    <w:p w:rsidR="005469A8" w:rsidRDefault="005469A8">
      <w:pPr>
        <w:rPr>
          <w:noProof/>
        </w:rPr>
      </w:pPr>
    </w:p>
    <w:p w:rsidR="00CE2FA0" w:rsidRDefault="00B91608">
      <w:r>
        <w:rPr>
          <w:noProof/>
        </w:rPr>
        <w:drawing>
          <wp:inline distT="0" distB="0" distL="0" distR="0">
            <wp:extent cx="5940425" cy="999324"/>
            <wp:effectExtent l="0" t="0" r="3175" b="0"/>
            <wp:docPr id="1" name="Рисунок 1" descr="винни_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нни_п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A8" w:rsidRDefault="005469A8"/>
    <w:p w:rsidR="005469A8" w:rsidRPr="005469A8" w:rsidRDefault="005469A8">
      <w:pPr>
        <w:rPr>
          <w:b/>
        </w:rPr>
      </w:pPr>
      <w:r w:rsidRPr="005469A8">
        <w:rPr>
          <w:b/>
        </w:rPr>
        <w:t>Задача 4.</w:t>
      </w:r>
      <w:r>
        <w:rPr>
          <w:b/>
        </w:rPr>
        <w:t xml:space="preserve"> Термометр.</w:t>
      </w:r>
      <w:bookmarkStart w:id="0" w:name="_GoBack"/>
      <w:bookmarkEnd w:id="0"/>
    </w:p>
    <w:p w:rsidR="005469A8" w:rsidRDefault="005469A8">
      <w:r>
        <w:rPr>
          <w:noProof/>
        </w:rPr>
        <w:drawing>
          <wp:inline distT="0" distB="0" distL="0" distR="0">
            <wp:extent cx="5715000" cy="3105150"/>
            <wp:effectExtent l="0" t="0" r="0" b="0"/>
            <wp:docPr id="2" name="Рисунок 2" descr="терм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рмомет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4F" w:rsidRDefault="00834E4F">
      <w:pPr>
        <w:sectPr w:rsidR="00834E4F" w:rsidSect="00F16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E4F" w:rsidRDefault="00834E4F" w:rsidP="00834E4F">
      <w:pPr>
        <w:pStyle w:val="a3"/>
        <w:jc w:val="left"/>
      </w:pPr>
      <w:r>
        <w:lastRenderedPageBreak/>
        <w:t>РЕШЕНИЯ</w:t>
      </w:r>
    </w:p>
    <w:p w:rsidR="00834E4F" w:rsidRPr="005A78E2" w:rsidRDefault="00834E4F" w:rsidP="00834E4F">
      <w:pPr>
        <w:pStyle w:val="a3"/>
      </w:pPr>
      <w:r>
        <w:t>М</w:t>
      </w:r>
      <w:r w:rsidRPr="005A78E2">
        <w:t xml:space="preserve">униципальный этап </w:t>
      </w:r>
    </w:p>
    <w:p w:rsidR="00834E4F" w:rsidRDefault="00834E4F" w:rsidP="00834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</w:t>
      </w:r>
      <w:r w:rsidRPr="005A78E2"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  <w:t xml:space="preserve">школьников </w:t>
      </w:r>
    </w:p>
    <w:p w:rsidR="00834E4F" w:rsidRPr="005A78E2" w:rsidRDefault="00834E4F" w:rsidP="00834E4F">
      <w:pPr>
        <w:jc w:val="center"/>
        <w:rPr>
          <w:b/>
          <w:sz w:val="28"/>
          <w:szCs w:val="28"/>
        </w:rPr>
      </w:pPr>
      <w:r w:rsidRPr="005A78E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физике</w:t>
      </w:r>
    </w:p>
    <w:p w:rsidR="00834E4F" w:rsidRPr="005A78E2" w:rsidRDefault="00834E4F" w:rsidP="00834E4F">
      <w:pPr>
        <w:spacing w:before="120" w:after="120"/>
        <w:jc w:val="center"/>
        <w:rPr>
          <w:b/>
        </w:rPr>
      </w:pPr>
      <w:r w:rsidRPr="005A78E2">
        <w:rPr>
          <w:b/>
        </w:rPr>
        <w:t>20</w:t>
      </w:r>
      <w:r>
        <w:rPr>
          <w:b/>
        </w:rPr>
        <w:t>16–</w:t>
      </w:r>
      <w:r w:rsidRPr="005A78E2">
        <w:rPr>
          <w:b/>
        </w:rPr>
        <w:t>20</w:t>
      </w:r>
      <w:r>
        <w:rPr>
          <w:b/>
        </w:rPr>
        <w:t>17</w:t>
      </w:r>
      <w:r w:rsidRPr="005A78E2">
        <w:rPr>
          <w:b/>
        </w:rPr>
        <w:t xml:space="preserve"> учебный год</w:t>
      </w:r>
    </w:p>
    <w:p w:rsidR="00834E4F" w:rsidRDefault="00834E4F" w:rsidP="00834E4F">
      <w:pPr>
        <w:jc w:val="center"/>
        <w:rPr>
          <w:b/>
          <w:sz w:val="28"/>
          <w:szCs w:val="28"/>
        </w:rPr>
      </w:pPr>
      <w:r w:rsidRPr="005E635C">
        <w:rPr>
          <w:b/>
          <w:sz w:val="28"/>
          <w:szCs w:val="28"/>
        </w:rPr>
        <w:t>7 класс</w:t>
      </w:r>
    </w:p>
    <w:p w:rsidR="00834E4F" w:rsidRPr="005E635C" w:rsidRDefault="00834E4F" w:rsidP="00834E4F">
      <w:pPr>
        <w:jc w:val="center"/>
        <w:rPr>
          <w:b/>
          <w:sz w:val="28"/>
          <w:szCs w:val="28"/>
        </w:rPr>
      </w:pPr>
    </w:p>
    <w:p w:rsidR="00834E4F" w:rsidRPr="00D97FBA" w:rsidRDefault="00834E4F" w:rsidP="00834E4F">
      <w:pPr>
        <w:spacing w:line="360" w:lineRule="auto"/>
        <w:ind w:firstLine="540"/>
        <w:rPr>
          <w:b/>
        </w:rPr>
      </w:pPr>
      <w:r w:rsidRPr="00DB40F0">
        <w:rPr>
          <w:b/>
        </w:rPr>
        <w:t xml:space="preserve">Задача </w:t>
      </w:r>
      <w:r>
        <w:rPr>
          <w:b/>
        </w:rPr>
        <w:t xml:space="preserve">1. Баррель и тонна нефти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максимальный балл – 10)</w:t>
      </w:r>
    </w:p>
    <w:p w:rsidR="00834E4F" w:rsidRPr="00D97FBA" w:rsidRDefault="00834E4F" w:rsidP="00834E4F">
      <w:pPr>
        <w:ind w:firstLine="540"/>
        <w:jc w:val="both"/>
      </w:pPr>
      <w:r w:rsidRPr="00D97FBA">
        <w:t xml:space="preserve">Нефтяной баррель – это объём в </w:t>
      </w:r>
      <w:smartTag w:uri="urn:schemas-microsoft-com:office:smarttags" w:element="metricconverter">
        <w:smartTagPr>
          <w:attr w:name="ProductID" w:val="160 литров"/>
        </w:smartTagPr>
        <w:r w:rsidRPr="00D97FBA">
          <w:t>160 литров</w:t>
        </w:r>
      </w:smartTag>
      <w:r w:rsidRPr="00D97FBA">
        <w:t xml:space="preserve">. В России в следующем году по прогнозам добыча нефти составит 400 миллионов тонн. Сколько баррелей нефти будет добыто в России в 2010 году? При расчетах примите, что в </w:t>
      </w:r>
      <m:oMath>
        <m:r>
          <w:rPr>
            <w:rFonts w:ascii="Cambria Math" w:hAnsi="Cambria Math"/>
          </w:rPr>
          <m:t xml:space="preserve">1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97FBA">
        <w:t xml:space="preserve"> содержится </w:t>
      </w:r>
      <m:oMath>
        <m:r>
          <w:rPr>
            <w:rFonts w:ascii="Cambria Math" w:hAnsi="Cambria Math"/>
          </w:rPr>
          <m:t>0,9 г</m:t>
        </m:r>
      </m:oMath>
      <w:r w:rsidRPr="00D97FBA">
        <w:t xml:space="preserve"> нефти.</w:t>
      </w:r>
    </w:p>
    <w:p w:rsidR="00834E4F" w:rsidRPr="005B5BE7" w:rsidRDefault="00834E4F" w:rsidP="00834E4F">
      <w:pPr>
        <w:spacing w:after="100"/>
        <w:ind w:firstLine="540"/>
        <w:rPr>
          <w:b/>
        </w:rPr>
      </w:pPr>
    </w:p>
    <w:p w:rsidR="00834E4F" w:rsidRPr="005B5BE7" w:rsidRDefault="00834E4F" w:rsidP="00834E4F">
      <w:pPr>
        <w:ind w:firstLine="540"/>
        <w:jc w:val="both"/>
      </w:pPr>
      <w:r w:rsidRPr="005B5BE7">
        <w:t>Найдем объем нефти, который планируется добыть в следующем году</w:t>
      </w:r>
      <w:r>
        <w:t>:</w:t>
      </w:r>
    </w:p>
    <w:p w:rsidR="00834E4F" w:rsidRPr="001E01A5" w:rsidRDefault="00834E4F" w:rsidP="00834E4F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ρ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834E4F" w:rsidRPr="005B5BE7" w:rsidRDefault="00834E4F" w:rsidP="00834E4F">
      <w:pPr>
        <w:jc w:val="both"/>
      </w:pPr>
      <w:r w:rsidRPr="005B5BE7">
        <w:t xml:space="preserve">где </w:t>
      </w:r>
      <m:oMath>
        <m:r>
          <w:rPr>
            <w:rFonts w:ascii="Cambria Math" w:hAnsi="Cambria Math"/>
          </w:rPr>
          <m:t>m-</m:t>
        </m:r>
      </m:oMath>
      <w:r w:rsidRPr="005B5BE7">
        <w:t xml:space="preserve"> масса нефти, планируемая к добыче, а </w:t>
      </w:r>
      <m:oMath>
        <m:r>
          <w:rPr>
            <w:rFonts w:ascii="Cambria Math" w:hAnsi="Cambria Math"/>
          </w:rPr>
          <m:t>ρ-</m:t>
        </m:r>
      </m:oMath>
      <w:r w:rsidRPr="005B5BE7">
        <w:t xml:space="preserve"> плотность нефти. Разделив </w:t>
      </w:r>
      <m:oMath>
        <m:r>
          <w:rPr>
            <w:rFonts w:ascii="Cambria Math" w:hAnsi="Cambria Math"/>
          </w:rPr>
          <m:t>V</m:t>
        </m:r>
      </m:oMath>
      <w:r w:rsidRPr="005B5BE7">
        <w:t xml:space="preserve"> на объем </w:t>
      </w:r>
      <m:oMath>
        <m:r>
          <w:rPr>
            <w:rFonts w:ascii="Cambria Math" w:hAnsi="Cambria Math"/>
          </w:rPr>
          <m:t>v</m:t>
        </m:r>
      </m:oMath>
      <w:r w:rsidRPr="005B5BE7">
        <w:t xml:space="preserve"> одного барреля нефти, найдем число баррелей, которое по прогнозам будет добыто в России,</w:t>
      </w:r>
    </w:p>
    <w:p w:rsidR="00834E4F" w:rsidRPr="001E01A5" w:rsidRDefault="00834E4F" w:rsidP="00834E4F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ρv</m:t>
              </m:r>
            </m:den>
          </m:f>
          <m:r>
            <w:rPr>
              <w:rFonts w:ascii="Cambria Math" w:hAnsi="Cambria Math"/>
            </w:rPr>
            <m:t>=2,78∙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 xml:space="preserve"> баррелей.</m:t>
          </m:r>
        </m:oMath>
      </m:oMathPara>
    </w:p>
    <w:p w:rsidR="00834E4F" w:rsidRPr="005B5BE7" w:rsidRDefault="00834E4F" w:rsidP="00834E4F">
      <w:pPr>
        <w:spacing w:before="120" w:after="120"/>
        <w:jc w:val="center"/>
        <w:rPr>
          <w:b/>
        </w:rPr>
      </w:pPr>
      <w:r w:rsidRPr="005B5BE7">
        <w:rPr>
          <w:b/>
        </w:rPr>
        <w:t>Критерии оценивания</w:t>
      </w:r>
    </w:p>
    <w:p w:rsidR="00834E4F" w:rsidRPr="005B5BE7" w:rsidRDefault="00834E4F" w:rsidP="00834E4F">
      <w:r>
        <w:t xml:space="preserve">Определение </w:t>
      </w:r>
      <w:r w:rsidRPr="005B5BE7">
        <w:t>объема нефт</w:t>
      </w:r>
      <w:r>
        <w:t xml:space="preserve">и, планируемой к добыче - </w:t>
      </w:r>
      <w:r w:rsidRPr="005B5BE7">
        <w:t>4</w:t>
      </w:r>
      <w:r>
        <w:t xml:space="preserve"> балла</w:t>
      </w:r>
    </w:p>
    <w:p w:rsidR="00834E4F" w:rsidRDefault="00834E4F" w:rsidP="00834E4F">
      <w:pPr>
        <w:spacing w:after="100"/>
      </w:pPr>
      <w:r w:rsidRPr="005B5BE7">
        <w:t>Определен</w:t>
      </w:r>
      <w:r>
        <w:t xml:space="preserve">ие объема этой нефти в баррелях- </w:t>
      </w:r>
      <w:r w:rsidRPr="005B5BE7">
        <w:t xml:space="preserve"> </w:t>
      </w:r>
      <w:r>
        <w:t>4 балла</w:t>
      </w:r>
    </w:p>
    <w:p w:rsidR="00834E4F" w:rsidRPr="005B5BE7" w:rsidRDefault="00834E4F" w:rsidP="00834E4F">
      <w:pPr>
        <w:spacing w:after="100"/>
      </w:pPr>
      <w:r w:rsidRPr="005B5BE7">
        <w:t xml:space="preserve">Запись окончательного результата и получение правильного числового значения </w:t>
      </w:r>
      <w:r>
        <w:t xml:space="preserve"> - 2 балла</w:t>
      </w:r>
    </w:p>
    <w:p w:rsidR="00834E4F" w:rsidRPr="000D7E74" w:rsidRDefault="00834E4F" w:rsidP="00834E4F">
      <w:pPr>
        <w:autoSpaceDE w:val="0"/>
        <w:autoSpaceDN w:val="0"/>
        <w:adjustRightInd w:val="0"/>
        <w:ind w:firstLine="540"/>
        <w:rPr>
          <w:b/>
        </w:rPr>
      </w:pPr>
      <w:r w:rsidRPr="000D7E74">
        <w:rPr>
          <w:b/>
        </w:rPr>
        <w:t xml:space="preserve">Задача </w:t>
      </w:r>
      <w:r>
        <w:rPr>
          <w:b/>
        </w:rPr>
        <w:t xml:space="preserve">2. Железо и алюминий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максимальный балл – 10)</w:t>
      </w:r>
    </w:p>
    <w:p w:rsidR="00834E4F" w:rsidRPr="00D97FBA" w:rsidRDefault="00834E4F" w:rsidP="00834E4F">
      <w:pPr>
        <w:pStyle w:val="a7"/>
        <w:ind w:firstLine="540"/>
        <w:jc w:val="both"/>
        <w:rPr>
          <w:color w:val="auto"/>
          <w:szCs w:val="24"/>
        </w:rPr>
      </w:pPr>
      <w:r w:rsidRPr="00D97FBA">
        <w:rPr>
          <w:color w:val="auto"/>
          <w:w w:val="107"/>
          <w:szCs w:val="24"/>
        </w:rPr>
        <w:t xml:space="preserve">При одинаковых объемах заготовка железа имеет массу на </w:t>
      </w:r>
      <w:smartTag w:uri="urn:schemas-microsoft-com:office:smarttags" w:element="metricconverter">
        <w:smartTagPr>
          <w:attr w:name="ProductID" w:val="12,75 кг"/>
        </w:smartTagPr>
        <w:r w:rsidRPr="00D97FBA">
          <w:rPr>
            <w:color w:val="auto"/>
            <w:w w:val="107"/>
            <w:szCs w:val="24"/>
          </w:rPr>
          <w:t xml:space="preserve">12,75 </w:t>
        </w:r>
        <w:r w:rsidRPr="00D97FBA">
          <w:rPr>
            <w:i/>
            <w:color w:val="auto"/>
            <w:w w:val="107"/>
            <w:szCs w:val="24"/>
          </w:rPr>
          <w:t>кг</w:t>
        </w:r>
      </w:smartTag>
      <w:r w:rsidRPr="00D97FBA">
        <w:rPr>
          <w:color w:val="auto"/>
          <w:w w:val="107"/>
          <w:szCs w:val="24"/>
        </w:rPr>
        <w:t xml:space="preserve"> большую, чем заготовка алюминия. Определить массу заготовок железа и алюминия. </w: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12"/>
        </w:rPr>
        <w:object w:dxaOrig="1400" w:dyaOrig="380">
          <v:shape id="_x0000_i1027" type="#_x0000_t75" style="width:69.75pt;height:18.75pt" o:ole="">
            <v:imagedata r:id="rId10" o:title=""/>
          </v:shape>
          <o:OLEObject Type="Embed" ProgID="Equation.3" ShapeID="_x0000_i1027" DrawAspect="Content" ObjectID="_1546722749" r:id="rId11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12"/>
        </w:rPr>
        <w:object w:dxaOrig="1420" w:dyaOrig="380">
          <v:shape id="_x0000_i1028" type="#_x0000_t75" style="width:71.25pt;height:18.75pt" o:ole="">
            <v:imagedata r:id="rId12" o:title=""/>
          </v:shape>
          <o:OLEObject Type="Embed" ProgID="Equation.3" ShapeID="_x0000_i1028" DrawAspect="Content" ObjectID="_1546722750" r:id="rId13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12"/>
        </w:rPr>
        <w:object w:dxaOrig="1760" w:dyaOrig="380">
          <v:shape id="_x0000_i1029" type="#_x0000_t75" style="width:87.75pt;height:18.75pt" o:ole="">
            <v:imagedata r:id="rId14" o:title=""/>
          </v:shape>
          <o:OLEObject Type="Embed" ProgID="Equation.3" ShapeID="_x0000_i1029" DrawAspect="Content" ObjectID="_1546722751" r:id="rId15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12"/>
        </w:rPr>
        <w:object w:dxaOrig="2400" w:dyaOrig="380">
          <v:shape id="_x0000_i1030" type="#_x0000_t75" style="width:120pt;height:18.75pt" o:ole="">
            <v:imagedata r:id="rId16" o:title=""/>
          </v:shape>
          <o:OLEObject Type="Embed" ProgID="Equation.3" ShapeID="_x0000_i1030" DrawAspect="Content" ObjectID="_1546722752" r:id="rId17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34"/>
        </w:rPr>
        <w:object w:dxaOrig="1579" w:dyaOrig="780">
          <v:shape id="_x0000_i1031" type="#_x0000_t75" style="width:78.75pt;height:39pt" o:ole="">
            <v:imagedata r:id="rId18" o:title=""/>
          </v:shape>
          <o:OLEObject Type="Embed" ProgID="Equation.3" ShapeID="_x0000_i1031" DrawAspect="Content" ObjectID="_1546722753" r:id="rId19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34"/>
        </w:rPr>
        <w:object w:dxaOrig="2120" w:dyaOrig="780">
          <v:shape id="_x0000_i1032" type="#_x0000_t75" style="width:105.75pt;height:39pt" o:ole="">
            <v:imagedata r:id="rId20" o:title=""/>
          </v:shape>
          <o:OLEObject Type="Embed" ProgID="Equation.3" ShapeID="_x0000_i1032" DrawAspect="Content" ObjectID="_1546722754" r:id="rId21"/>
        </w:object>
      </w:r>
      <w:r>
        <w:rPr>
          <w:w w:val="107"/>
        </w:rPr>
        <w:t xml:space="preserve">                          </w:t>
      </w:r>
      <w:r w:rsidRPr="000D7E74">
        <w:rPr>
          <w:w w:val="107"/>
          <w:position w:val="-24"/>
        </w:rPr>
        <w:object w:dxaOrig="3240" w:dyaOrig="620">
          <v:shape id="_x0000_i1033" type="#_x0000_t75" style="width:160.5pt;height:31.5pt" o:ole="">
            <v:imagedata r:id="rId22" o:title=""/>
          </v:shape>
          <o:OLEObject Type="Embed" ProgID="Equation.3" ShapeID="_x0000_i1033" DrawAspect="Content" ObjectID="_1546722755" r:id="rId23"/>
        </w:object>
      </w:r>
    </w:p>
    <w:p w:rsidR="00834E4F" w:rsidRDefault="00834E4F" w:rsidP="00834E4F">
      <w:pPr>
        <w:ind w:firstLine="708"/>
        <w:jc w:val="both"/>
        <w:rPr>
          <w:w w:val="107"/>
        </w:rPr>
      </w:pPr>
      <w:r w:rsidRPr="005144EE">
        <w:rPr>
          <w:w w:val="107"/>
          <w:position w:val="-34"/>
        </w:rPr>
        <w:object w:dxaOrig="2140" w:dyaOrig="780">
          <v:shape id="_x0000_i1034" type="#_x0000_t75" style="width:107.25pt;height:39pt" o:ole="">
            <v:imagedata r:id="rId24" o:title=""/>
          </v:shape>
          <o:OLEObject Type="Embed" ProgID="Equation.3" ShapeID="_x0000_i1034" DrawAspect="Content" ObjectID="_1546722756" r:id="rId25"/>
        </w:object>
      </w:r>
      <w:r>
        <w:rPr>
          <w:w w:val="107"/>
        </w:rPr>
        <w:t xml:space="preserve">                           </w:t>
      </w:r>
      <w:r w:rsidRPr="000D7E74">
        <w:rPr>
          <w:w w:val="107"/>
          <w:position w:val="-24"/>
        </w:rPr>
        <w:object w:dxaOrig="3280" w:dyaOrig="620">
          <v:shape id="_x0000_i1035" type="#_x0000_t75" style="width:164.25pt;height:30.75pt" o:ole="">
            <v:imagedata r:id="rId26" o:title=""/>
          </v:shape>
          <o:OLEObject Type="Embed" ProgID="Equation.3" ShapeID="_x0000_i1035" DrawAspect="Content" ObjectID="_1546722757" r:id="rId27"/>
        </w:object>
      </w:r>
    </w:p>
    <w:p w:rsidR="00834E4F" w:rsidRPr="002554D9" w:rsidRDefault="00834E4F" w:rsidP="00834E4F">
      <w:pPr>
        <w:rPr>
          <w:bCs/>
        </w:rPr>
      </w:pPr>
      <w:r w:rsidRPr="002554D9">
        <w:rPr>
          <w:bCs/>
        </w:rPr>
        <w:t xml:space="preserve"> </w:t>
      </w:r>
      <w:r>
        <w:rPr>
          <w:bCs/>
        </w:rPr>
        <w:t xml:space="preserve">       </w:t>
      </w:r>
      <w:r w:rsidRPr="002554D9">
        <w:rPr>
          <w:bCs/>
        </w:rPr>
        <w:t>Проведен анали</w:t>
      </w:r>
      <w:r>
        <w:rPr>
          <w:bCs/>
        </w:rPr>
        <w:t>з и получено правильное решение – 10 баллов</w:t>
      </w:r>
    </w:p>
    <w:p w:rsidR="00834E4F" w:rsidRPr="002554D9" w:rsidRDefault="00834E4F" w:rsidP="00834E4F">
      <w:pPr>
        <w:ind w:firstLine="540"/>
        <w:rPr>
          <w:bCs/>
        </w:rPr>
      </w:pPr>
      <w:r w:rsidRPr="002554D9">
        <w:rPr>
          <w:bCs/>
        </w:rPr>
        <w:t>Идея решения верна, но допущены ошибки в расче</w:t>
      </w:r>
      <w:r>
        <w:rPr>
          <w:bCs/>
        </w:rPr>
        <w:t>тах – 8 баллов.</w:t>
      </w:r>
    </w:p>
    <w:p w:rsidR="00834E4F" w:rsidRPr="002554D9" w:rsidRDefault="00834E4F" w:rsidP="00834E4F">
      <w:pPr>
        <w:ind w:firstLine="540"/>
        <w:rPr>
          <w:bCs/>
        </w:rPr>
      </w:pPr>
      <w:r w:rsidRPr="002554D9">
        <w:rPr>
          <w:bCs/>
        </w:rPr>
        <w:t>Написаны верные формулы для связи плотности, объема и массы</w:t>
      </w:r>
      <w:r>
        <w:rPr>
          <w:bCs/>
        </w:rPr>
        <w:t xml:space="preserve"> – 3 балла.</w:t>
      </w:r>
    </w:p>
    <w:p w:rsidR="00834E4F" w:rsidRPr="002554D9" w:rsidRDefault="00834E4F" w:rsidP="00834E4F">
      <w:pPr>
        <w:ind w:firstLine="540"/>
      </w:pPr>
      <w:r>
        <w:rPr>
          <w:bCs/>
        </w:rPr>
        <w:t>П</w:t>
      </w:r>
      <w:r w:rsidRPr="002554D9">
        <w:rPr>
          <w:bCs/>
        </w:rPr>
        <w:t>о усмотрению проверяющег</w:t>
      </w:r>
      <w:r>
        <w:rPr>
          <w:bCs/>
        </w:rPr>
        <w:t>о, за разумные идеи или формулы – 2 балла.</w:t>
      </w:r>
    </w:p>
    <w:p w:rsidR="00834E4F" w:rsidRDefault="00834E4F" w:rsidP="00834E4F">
      <w:pPr>
        <w:jc w:val="both"/>
      </w:pPr>
    </w:p>
    <w:p w:rsidR="00834E4F" w:rsidRDefault="00834E4F" w:rsidP="00834E4F"/>
    <w:p w:rsidR="00834E4F" w:rsidRDefault="00834E4F" w:rsidP="00834E4F">
      <w:pPr>
        <w:rPr>
          <w:noProof/>
        </w:rPr>
      </w:pPr>
    </w:p>
    <w:p w:rsidR="00834E4F" w:rsidRDefault="00834E4F" w:rsidP="00834E4F">
      <w:pPr>
        <w:rPr>
          <w:noProof/>
        </w:rPr>
      </w:pPr>
    </w:p>
    <w:p w:rsidR="00834E4F" w:rsidRDefault="00834E4F" w:rsidP="00834E4F">
      <w:pPr>
        <w:rPr>
          <w:noProof/>
        </w:rPr>
      </w:pPr>
      <w:r>
        <w:rPr>
          <w:b/>
        </w:rPr>
        <w:t>(Максимальный балл – 10)</w:t>
      </w:r>
    </w:p>
    <w:p w:rsidR="00834E4F" w:rsidRDefault="00834E4F" w:rsidP="00834E4F">
      <w:r>
        <w:rPr>
          <w:noProof/>
        </w:rPr>
        <w:drawing>
          <wp:inline distT="0" distB="0" distL="0" distR="0">
            <wp:extent cx="5940425" cy="2607991"/>
            <wp:effectExtent l="0" t="0" r="3175" b="1905"/>
            <wp:docPr id="10" name="Рисунок 1" descr="решение Винни 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шение Винни Пух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4F" w:rsidRDefault="00834E4F" w:rsidP="00834E4F"/>
    <w:p w:rsidR="00834E4F" w:rsidRDefault="00834E4F" w:rsidP="00834E4F"/>
    <w:p w:rsidR="00834E4F" w:rsidRDefault="00834E4F" w:rsidP="00834E4F"/>
    <w:p w:rsidR="00834E4F" w:rsidRDefault="00834E4F" w:rsidP="00834E4F">
      <w:r>
        <w:t>Нахождение объема меда, вытекшего наружу – 3 балла</w:t>
      </w:r>
    </w:p>
    <w:p w:rsidR="00834E4F" w:rsidRDefault="00834E4F" w:rsidP="00834E4F">
      <w:r>
        <w:t>Нахождение объема меда, оставшегося в бочке – 2 балла</w:t>
      </w:r>
    </w:p>
    <w:p w:rsidR="00834E4F" w:rsidRDefault="00834E4F" w:rsidP="00834E4F">
      <w:r>
        <w:t>Нахождение объема туловища – 3 балла</w:t>
      </w:r>
    </w:p>
    <w:p w:rsidR="00834E4F" w:rsidRDefault="00834E4F" w:rsidP="00834E4F">
      <w:r>
        <w:t xml:space="preserve">Нахождение массы </w:t>
      </w:r>
      <w:proofErr w:type="spellStart"/>
      <w:r>
        <w:t>Винни-Пуха</w:t>
      </w:r>
      <w:proofErr w:type="spellEnd"/>
      <w:r>
        <w:t xml:space="preserve"> – 2 балла</w:t>
      </w:r>
    </w:p>
    <w:p w:rsidR="00834E4F" w:rsidRDefault="00834E4F" w:rsidP="00834E4F"/>
    <w:p w:rsidR="00834E4F" w:rsidRPr="00AE745B" w:rsidRDefault="00834E4F" w:rsidP="00834E4F">
      <w:pPr>
        <w:rPr>
          <w:b/>
        </w:rPr>
      </w:pPr>
      <w:r w:rsidRPr="00AE745B">
        <w:rPr>
          <w:b/>
        </w:rPr>
        <w:t>Задача 4. Термометры</w:t>
      </w:r>
    </w:p>
    <w:p w:rsidR="00834E4F" w:rsidRDefault="00834E4F" w:rsidP="00834E4F"/>
    <w:p w:rsidR="00834E4F" w:rsidRDefault="00834E4F" w:rsidP="00834E4F">
      <w:r>
        <w:rPr>
          <w:noProof/>
        </w:rPr>
        <w:drawing>
          <wp:inline distT="0" distB="0" distL="0" distR="0">
            <wp:extent cx="5715000" cy="3105150"/>
            <wp:effectExtent l="0" t="0" r="0" b="0"/>
            <wp:docPr id="11" name="Рисунок 2" descr="терм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термомет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4F" w:rsidRDefault="00834E4F" w:rsidP="00834E4F"/>
    <w:p w:rsidR="00834E4F" w:rsidRDefault="00834E4F" w:rsidP="00834E4F">
      <w:r>
        <w:rPr>
          <w:noProof/>
        </w:rPr>
        <w:lastRenderedPageBreak/>
        <w:drawing>
          <wp:inline distT="0" distB="0" distL="0" distR="0">
            <wp:extent cx="4962525" cy="4543425"/>
            <wp:effectExtent l="0" t="0" r="9525" b="9525"/>
            <wp:docPr id="12" name="Рисунок 4" descr="решение терм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ешение термометр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4F" w:rsidRDefault="00834E4F"/>
    <w:sectPr w:rsidR="00834E4F" w:rsidSect="00834E4F">
      <w:pgSz w:w="11906" w:h="16838"/>
      <w:pgMar w:top="567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0F"/>
    <w:rsid w:val="0026454F"/>
    <w:rsid w:val="002A6B8F"/>
    <w:rsid w:val="005469A8"/>
    <w:rsid w:val="00834E4F"/>
    <w:rsid w:val="009C7C0F"/>
    <w:rsid w:val="00B91608"/>
    <w:rsid w:val="00CE2FA0"/>
    <w:rsid w:val="00F1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454F"/>
    <w:pPr>
      <w:keepNext/>
      <w:jc w:val="both"/>
      <w:outlineLvl w:val="5"/>
    </w:pPr>
    <w:rPr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7C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7C0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6454F"/>
    <w:rPr>
      <w:rFonts w:ascii="Times New Roman" w:eastAsia="Times New Roman" w:hAnsi="Times New Roman" w:cs="Times New Roman"/>
      <w:b/>
      <w:bCs/>
      <w:color w:val="000000"/>
      <w:sz w:val="24"/>
      <w:szCs w:val="23"/>
      <w:lang w:eastAsia="ru-RU"/>
    </w:rPr>
  </w:style>
  <w:style w:type="paragraph" w:styleId="a7">
    <w:name w:val="Body Text"/>
    <w:basedOn w:val="a"/>
    <w:link w:val="a8"/>
    <w:rsid w:val="0026454F"/>
    <w:rPr>
      <w:color w:val="000000"/>
      <w:szCs w:val="22"/>
    </w:rPr>
  </w:style>
  <w:style w:type="character" w:customStyle="1" w:styleId="a8">
    <w:name w:val="Основной текст Знак"/>
    <w:basedOn w:val="a0"/>
    <w:link w:val="a7"/>
    <w:rsid w:val="0026454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454F"/>
    <w:pPr>
      <w:keepNext/>
      <w:jc w:val="both"/>
      <w:outlineLvl w:val="5"/>
    </w:pPr>
    <w:rPr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7C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7C0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6454F"/>
    <w:rPr>
      <w:rFonts w:ascii="Times New Roman" w:eastAsia="Times New Roman" w:hAnsi="Times New Roman" w:cs="Times New Roman"/>
      <w:b/>
      <w:bCs/>
      <w:color w:val="000000"/>
      <w:sz w:val="24"/>
      <w:szCs w:val="23"/>
      <w:lang w:eastAsia="ru-RU"/>
    </w:rPr>
  </w:style>
  <w:style w:type="paragraph" w:styleId="a7">
    <w:name w:val="Body Text"/>
    <w:basedOn w:val="a"/>
    <w:link w:val="a8"/>
    <w:rsid w:val="0026454F"/>
    <w:rPr>
      <w:color w:val="000000"/>
      <w:szCs w:val="22"/>
    </w:rPr>
  </w:style>
  <w:style w:type="character" w:customStyle="1" w:styleId="a8">
    <w:name w:val="Основной текст Знак"/>
    <w:basedOn w:val="a0"/>
    <w:link w:val="a7"/>
    <w:rsid w:val="0026454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jpeg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kartochka</cp:lastModifiedBy>
  <cp:revision>6</cp:revision>
  <dcterms:created xsi:type="dcterms:W3CDTF">2016-11-12T16:48:00Z</dcterms:created>
  <dcterms:modified xsi:type="dcterms:W3CDTF">2017-01-23T21:26:00Z</dcterms:modified>
</cp:coreProperties>
</file>